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23183" w14:textId="77777777" w:rsidR="00C149A1" w:rsidRPr="00C149A1" w:rsidRDefault="00C149A1" w:rsidP="004C0EBC">
      <w:pPr>
        <w:jc w:val="center"/>
        <w:rPr>
          <w:rFonts w:ascii="Times New Roman" w:eastAsia="Calibri" w:hAnsi="Times New Roman" w:cs="Times New Roman"/>
          <w:b/>
          <w:sz w:val="28"/>
          <w:szCs w:val="28"/>
        </w:rPr>
      </w:pPr>
      <w:r w:rsidRPr="00C149A1">
        <w:rPr>
          <w:rFonts w:ascii="Times New Roman" w:eastAsia="Calibri" w:hAnsi="Times New Roman" w:cs="Times New Roman"/>
          <w:b/>
          <w:sz w:val="28"/>
          <w:szCs w:val="28"/>
        </w:rPr>
        <w:t>Appendices</w:t>
      </w:r>
    </w:p>
    <w:p w14:paraId="45921A59" w14:textId="77777777" w:rsidR="00C149A1" w:rsidRPr="00C149A1" w:rsidRDefault="00C149A1" w:rsidP="00C149A1">
      <w:pPr>
        <w:rPr>
          <w:rFonts w:ascii="Times New Roman" w:eastAsia="Calibri" w:hAnsi="Times New Roman" w:cs="Times New Roman"/>
          <w:b/>
          <w:sz w:val="20"/>
          <w:szCs w:val="20"/>
        </w:rPr>
      </w:pPr>
    </w:p>
    <w:tbl>
      <w:tblPr>
        <w:tblStyle w:val="TableGrid"/>
        <w:tblW w:w="10348" w:type="dxa"/>
        <w:tblLook w:val="04A0" w:firstRow="1" w:lastRow="0" w:firstColumn="1" w:lastColumn="0" w:noHBand="0" w:noVBand="1"/>
      </w:tblPr>
      <w:tblGrid>
        <w:gridCol w:w="541"/>
        <w:gridCol w:w="1732"/>
        <w:gridCol w:w="1838"/>
        <w:gridCol w:w="2558"/>
        <w:gridCol w:w="3679"/>
      </w:tblGrid>
      <w:tr w:rsidR="00C149A1" w:rsidRPr="00C149A1" w14:paraId="6C41DC12" w14:textId="77777777" w:rsidTr="00191DDD">
        <w:tc>
          <w:tcPr>
            <w:tcW w:w="541" w:type="dxa"/>
            <w:tcBorders>
              <w:top w:val="single" w:sz="18" w:space="0" w:color="auto"/>
              <w:left w:val="nil"/>
              <w:bottom w:val="nil"/>
              <w:right w:val="nil"/>
            </w:tcBorders>
          </w:tcPr>
          <w:p w14:paraId="1109A52C" w14:textId="77777777" w:rsidR="00C149A1" w:rsidRPr="00C149A1" w:rsidRDefault="00C149A1" w:rsidP="00C149A1">
            <w:pPr>
              <w:jc w:val="center"/>
              <w:rPr>
                <w:rFonts w:ascii="Times New Roman" w:eastAsia="Calibri" w:hAnsi="Times New Roman" w:cs="Times New Roman"/>
                <w:b/>
                <w:sz w:val="20"/>
                <w:szCs w:val="20"/>
                <w:u w:val="single"/>
              </w:rPr>
            </w:pPr>
            <w:r w:rsidRPr="00C149A1">
              <w:rPr>
                <w:rFonts w:ascii="Times New Roman" w:eastAsia="Calibri" w:hAnsi="Times New Roman" w:cs="Times New Roman"/>
                <w:b/>
                <w:sz w:val="20"/>
                <w:szCs w:val="20"/>
                <w:u w:val="single"/>
              </w:rPr>
              <w:t>No.</w:t>
            </w:r>
          </w:p>
        </w:tc>
        <w:tc>
          <w:tcPr>
            <w:tcW w:w="1732" w:type="dxa"/>
            <w:tcBorders>
              <w:top w:val="single" w:sz="18" w:space="0" w:color="auto"/>
              <w:left w:val="nil"/>
              <w:bottom w:val="nil"/>
              <w:right w:val="nil"/>
            </w:tcBorders>
          </w:tcPr>
          <w:p w14:paraId="3A123E7C" w14:textId="77777777" w:rsidR="00C149A1" w:rsidRPr="00C149A1" w:rsidRDefault="00C149A1" w:rsidP="00C149A1">
            <w:pPr>
              <w:jc w:val="center"/>
              <w:rPr>
                <w:rFonts w:ascii="Times New Roman" w:eastAsia="Calibri" w:hAnsi="Times New Roman" w:cs="Times New Roman"/>
                <w:b/>
                <w:sz w:val="20"/>
                <w:szCs w:val="20"/>
                <w:u w:val="single"/>
              </w:rPr>
            </w:pPr>
            <w:r w:rsidRPr="00C149A1">
              <w:rPr>
                <w:rFonts w:ascii="Times New Roman" w:eastAsia="Calibri" w:hAnsi="Times New Roman" w:cs="Times New Roman"/>
                <w:b/>
                <w:sz w:val="20"/>
                <w:szCs w:val="20"/>
                <w:u w:val="single"/>
              </w:rPr>
              <w:t>Name of Journal and Its Writer</w:t>
            </w:r>
          </w:p>
        </w:tc>
        <w:tc>
          <w:tcPr>
            <w:tcW w:w="1838" w:type="dxa"/>
            <w:tcBorders>
              <w:top w:val="single" w:sz="18" w:space="0" w:color="auto"/>
              <w:left w:val="nil"/>
              <w:bottom w:val="nil"/>
              <w:right w:val="nil"/>
            </w:tcBorders>
          </w:tcPr>
          <w:p w14:paraId="68F3E90C" w14:textId="77777777" w:rsidR="00C149A1" w:rsidRPr="00C149A1" w:rsidRDefault="00C149A1" w:rsidP="00C149A1">
            <w:pPr>
              <w:jc w:val="center"/>
              <w:rPr>
                <w:rFonts w:ascii="Times New Roman" w:eastAsia="Calibri" w:hAnsi="Times New Roman" w:cs="Times New Roman"/>
                <w:b/>
                <w:sz w:val="20"/>
                <w:szCs w:val="20"/>
              </w:rPr>
            </w:pPr>
          </w:p>
        </w:tc>
        <w:tc>
          <w:tcPr>
            <w:tcW w:w="2558" w:type="dxa"/>
            <w:tcBorders>
              <w:top w:val="single" w:sz="18" w:space="0" w:color="auto"/>
              <w:left w:val="nil"/>
              <w:bottom w:val="nil"/>
              <w:right w:val="nil"/>
            </w:tcBorders>
          </w:tcPr>
          <w:p w14:paraId="70404E91" w14:textId="77777777" w:rsidR="00C149A1" w:rsidRPr="00C149A1" w:rsidRDefault="00C149A1" w:rsidP="00C149A1">
            <w:pPr>
              <w:jc w:val="right"/>
              <w:rPr>
                <w:rFonts w:ascii="Times New Roman" w:eastAsia="Calibri" w:hAnsi="Times New Roman" w:cs="Times New Roman"/>
                <w:b/>
                <w:sz w:val="20"/>
                <w:szCs w:val="20"/>
                <w:u w:val="single"/>
              </w:rPr>
            </w:pPr>
            <w:r w:rsidRPr="00C149A1">
              <w:rPr>
                <w:rFonts w:ascii="Times New Roman" w:eastAsia="Calibri" w:hAnsi="Times New Roman" w:cs="Times New Roman"/>
                <w:b/>
                <w:sz w:val="20"/>
                <w:szCs w:val="20"/>
                <w:u w:val="single"/>
              </w:rPr>
              <w:t>Modality Value</w:t>
            </w:r>
          </w:p>
        </w:tc>
        <w:tc>
          <w:tcPr>
            <w:tcW w:w="3679" w:type="dxa"/>
            <w:tcBorders>
              <w:top w:val="single" w:sz="18" w:space="0" w:color="auto"/>
              <w:left w:val="nil"/>
              <w:bottom w:val="nil"/>
              <w:right w:val="nil"/>
            </w:tcBorders>
          </w:tcPr>
          <w:p w14:paraId="6E130F61" w14:textId="77777777" w:rsidR="00C149A1" w:rsidRPr="00C149A1" w:rsidRDefault="00C149A1" w:rsidP="00C149A1">
            <w:pPr>
              <w:jc w:val="center"/>
              <w:rPr>
                <w:rFonts w:ascii="Times New Roman" w:eastAsia="Calibri" w:hAnsi="Times New Roman" w:cs="Times New Roman"/>
                <w:b/>
                <w:sz w:val="20"/>
                <w:szCs w:val="20"/>
              </w:rPr>
            </w:pPr>
          </w:p>
        </w:tc>
      </w:tr>
      <w:tr w:rsidR="00C149A1" w:rsidRPr="00C149A1" w14:paraId="2A1856D5" w14:textId="77777777" w:rsidTr="00191DDD">
        <w:tc>
          <w:tcPr>
            <w:tcW w:w="541" w:type="dxa"/>
            <w:tcBorders>
              <w:top w:val="nil"/>
              <w:left w:val="nil"/>
              <w:bottom w:val="nil"/>
              <w:right w:val="nil"/>
            </w:tcBorders>
          </w:tcPr>
          <w:p w14:paraId="35A484AB" w14:textId="77777777" w:rsidR="00C149A1" w:rsidRPr="00C149A1" w:rsidRDefault="00C149A1" w:rsidP="00C149A1">
            <w:pPr>
              <w:rPr>
                <w:rFonts w:ascii="Times New Roman" w:eastAsia="Calibri" w:hAnsi="Times New Roman" w:cs="Times New Roman"/>
                <w:sz w:val="20"/>
                <w:szCs w:val="20"/>
              </w:rPr>
            </w:pPr>
          </w:p>
        </w:tc>
        <w:tc>
          <w:tcPr>
            <w:tcW w:w="1732" w:type="dxa"/>
            <w:tcBorders>
              <w:top w:val="nil"/>
              <w:left w:val="nil"/>
              <w:bottom w:val="nil"/>
              <w:right w:val="nil"/>
            </w:tcBorders>
          </w:tcPr>
          <w:p w14:paraId="03825DC8" w14:textId="77777777" w:rsidR="00C149A1" w:rsidRPr="00C149A1" w:rsidRDefault="00C149A1" w:rsidP="00C149A1">
            <w:pPr>
              <w:rPr>
                <w:rFonts w:ascii="Times New Roman" w:eastAsia="Calibri" w:hAnsi="Times New Roman" w:cs="Times New Roman"/>
                <w:sz w:val="20"/>
                <w:szCs w:val="20"/>
              </w:rPr>
            </w:pPr>
          </w:p>
        </w:tc>
        <w:tc>
          <w:tcPr>
            <w:tcW w:w="1838" w:type="dxa"/>
            <w:tcBorders>
              <w:top w:val="nil"/>
              <w:left w:val="nil"/>
              <w:bottom w:val="nil"/>
              <w:right w:val="nil"/>
            </w:tcBorders>
          </w:tcPr>
          <w:p w14:paraId="3B5463F9" w14:textId="77777777" w:rsidR="00C149A1" w:rsidRPr="00C149A1" w:rsidRDefault="00C149A1" w:rsidP="00C149A1">
            <w:pPr>
              <w:jc w:val="center"/>
              <w:rPr>
                <w:rFonts w:ascii="Times New Roman" w:eastAsia="Calibri" w:hAnsi="Times New Roman" w:cs="Times New Roman"/>
                <w:b/>
                <w:sz w:val="20"/>
                <w:szCs w:val="20"/>
                <w:u w:val="single"/>
              </w:rPr>
            </w:pPr>
            <w:r w:rsidRPr="00C149A1">
              <w:rPr>
                <w:rFonts w:ascii="Times New Roman" w:eastAsia="Calibri" w:hAnsi="Times New Roman" w:cs="Times New Roman"/>
                <w:b/>
                <w:sz w:val="20"/>
                <w:szCs w:val="20"/>
                <w:u w:val="single"/>
              </w:rPr>
              <w:t>High</w:t>
            </w:r>
          </w:p>
        </w:tc>
        <w:tc>
          <w:tcPr>
            <w:tcW w:w="2558" w:type="dxa"/>
            <w:tcBorders>
              <w:top w:val="nil"/>
              <w:left w:val="nil"/>
              <w:bottom w:val="nil"/>
              <w:right w:val="nil"/>
            </w:tcBorders>
          </w:tcPr>
          <w:p w14:paraId="2F8C28A4" w14:textId="77777777" w:rsidR="00C149A1" w:rsidRPr="00C149A1" w:rsidRDefault="00C149A1" w:rsidP="00C149A1">
            <w:pPr>
              <w:jc w:val="center"/>
              <w:rPr>
                <w:rFonts w:ascii="Times New Roman" w:eastAsia="Calibri" w:hAnsi="Times New Roman" w:cs="Times New Roman"/>
                <w:b/>
                <w:sz w:val="20"/>
                <w:szCs w:val="20"/>
                <w:u w:val="single"/>
              </w:rPr>
            </w:pPr>
            <w:r w:rsidRPr="00C149A1">
              <w:rPr>
                <w:rFonts w:ascii="Times New Roman" w:eastAsia="Calibri" w:hAnsi="Times New Roman" w:cs="Times New Roman"/>
                <w:b/>
                <w:sz w:val="20"/>
                <w:szCs w:val="20"/>
                <w:u w:val="single"/>
              </w:rPr>
              <w:t>Middle</w:t>
            </w:r>
          </w:p>
        </w:tc>
        <w:tc>
          <w:tcPr>
            <w:tcW w:w="3679" w:type="dxa"/>
            <w:tcBorders>
              <w:top w:val="nil"/>
              <w:left w:val="nil"/>
              <w:bottom w:val="nil"/>
              <w:right w:val="nil"/>
            </w:tcBorders>
          </w:tcPr>
          <w:p w14:paraId="2EFFE59C" w14:textId="77777777" w:rsidR="00C149A1" w:rsidRPr="00C149A1" w:rsidRDefault="00C149A1" w:rsidP="00C149A1">
            <w:pPr>
              <w:jc w:val="center"/>
              <w:rPr>
                <w:rFonts w:ascii="Times New Roman" w:eastAsia="Calibri" w:hAnsi="Times New Roman" w:cs="Times New Roman"/>
                <w:b/>
                <w:sz w:val="20"/>
                <w:szCs w:val="20"/>
                <w:u w:val="single"/>
              </w:rPr>
            </w:pPr>
            <w:r w:rsidRPr="00C149A1">
              <w:rPr>
                <w:rFonts w:ascii="Times New Roman" w:eastAsia="Calibri" w:hAnsi="Times New Roman" w:cs="Times New Roman"/>
                <w:b/>
                <w:sz w:val="20"/>
                <w:szCs w:val="20"/>
                <w:u w:val="single"/>
              </w:rPr>
              <w:t>Low</w:t>
            </w:r>
          </w:p>
        </w:tc>
      </w:tr>
      <w:tr w:rsidR="00C149A1" w:rsidRPr="00C149A1" w14:paraId="6AB68995" w14:textId="77777777" w:rsidTr="00191DDD">
        <w:tc>
          <w:tcPr>
            <w:tcW w:w="541" w:type="dxa"/>
            <w:tcBorders>
              <w:top w:val="nil"/>
              <w:left w:val="nil"/>
              <w:bottom w:val="single" w:sz="18" w:space="0" w:color="auto"/>
              <w:right w:val="nil"/>
            </w:tcBorders>
          </w:tcPr>
          <w:p w14:paraId="02C7F5F6" w14:textId="77777777" w:rsidR="00C149A1" w:rsidRPr="00C149A1" w:rsidRDefault="00C149A1" w:rsidP="00C149A1">
            <w:pPr>
              <w:rPr>
                <w:rFonts w:ascii="Times New Roman" w:eastAsia="Calibri" w:hAnsi="Times New Roman" w:cs="Times New Roman"/>
                <w:sz w:val="20"/>
                <w:szCs w:val="20"/>
              </w:rPr>
            </w:pPr>
          </w:p>
        </w:tc>
        <w:tc>
          <w:tcPr>
            <w:tcW w:w="1732" w:type="dxa"/>
            <w:tcBorders>
              <w:top w:val="nil"/>
              <w:left w:val="nil"/>
              <w:bottom w:val="single" w:sz="18" w:space="0" w:color="auto"/>
              <w:right w:val="nil"/>
            </w:tcBorders>
          </w:tcPr>
          <w:p w14:paraId="4C3383E8" w14:textId="77777777" w:rsidR="00C149A1" w:rsidRPr="00C149A1" w:rsidRDefault="00C149A1" w:rsidP="00C149A1">
            <w:pPr>
              <w:rPr>
                <w:rFonts w:ascii="Times New Roman" w:eastAsia="Calibri" w:hAnsi="Times New Roman" w:cs="Times New Roman"/>
                <w:sz w:val="20"/>
                <w:szCs w:val="20"/>
              </w:rPr>
            </w:pPr>
          </w:p>
        </w:tc>
        <w:tc>
          <w:tcPr>
            <w:tcW w:w="1838" w:type="dxa"/>
            <w:tcBorders>
              <w:top w:val="nil"/>
              <w:left w:val="nil"/>
              <w:bottom w:val="single" w:sz="18" w:space="0" w:color="auto"/>
              <w:right w:val="nil"/>
            </w:tcBorders>
          </w:tcPr>
          <w:p w14:paraId="6F583532" w14:textId="77777777" w:rsidR="00C149A1" w:rsidRPr="00C149A1" w:rsidRDefault="00C149A1" w:rsidP="00C149A1">
            <w:pPr>
              <w:rPr>
                <w:rFonts w:ascii="Times New Roman" w:eastAsia="Calibri" w:hAnsi="Times New Roman" w:cs="Times New Roman"/>
                <w:sz w:val="20"/>
                <w:szCs w:val="20"/>
              </w:rPr>
            </w:pPr>
          </w:p>
        </w:tc>
        <w:tc>
          <w:tcPr>
            <w:tcW w:w="2558" w:type="dxa"/>
            <w:tcBorders>
              <w:top w:val="nil"/>
              <w:left w:val="nil"/>
              <w:bottom w:val="single" w:sz="18" w:space="0" w:color="auto"/>
              <w:right w:val="nil"/>
            </w:tcBorders>
          </w:tcPr>
          <w:p w14:paraId="25FDAECF" w14:textId="77777777" w:rsidR="00C149A1" w:rsidRPr="00C149A1" w:rsidRDefault="00C149A1" w:rsidP="00C149A1">
            <w:pPr>
              <w:rPr>
                <w:rFonts w:ascii="Times New Roman" w:eastAsia="Calibri" w:hAnsi="Times New Roman" w:cs="Times New Roman"/>
                <w:sz w:val="20"/>
                <w:szCs w:val="20"/>
              </w:rPr>
            </w:pPr>
          </w:p>
        </w:tc>
        <w:tc>
          <w:tcPr>
            <w:tcW w:w="3679" w:type="dxa"/>
            <w:tcBorders>
              <w:top w:val="nil"/>
              <w:left w:val="nil"/>
              <w:bottom w:val="single" w:sz="18" w:space="0" w:color="auto"/>
              <w:right w:val="nil"/>
            </w:tcBorders>
          </w:tcPr>
          <w:p w14:paraId="1028078E" w14:textId="77777777" w:rsidR="00C149A1" w:rsidRPr="00C149A1" w:rsidRDefault="00C149A1" w:rsidP="00C149A1">
            <w:pPr>
              <w:rPr>
                <w:rFonts w:ascii="Times New Roman" w:eastAsia="Calibri" w:hAnsi="Times New Roman" w:cs="Times New Roman"/>
                <w:sz w:val="20"/>
                <w:szCs w:val="20"/>
              </w:rPr>
            </w:pPr>
          </w:p>
        </w:tc>
      </w:tr>
      <w:tr w:rsidR="00C149A1" w:rsidRPr="00C149A1" w14:paraId="7E4BBE7F" w14:textId="77777777" w:rsidTr="00191DDD">
        <w:tc>
          <w:tcPr>
            <w:tcW w:w="541" w:type="dxa"/>
            <w:tcBorders>
              <w:top w:val="single" w:sz="18" w:space="0" w:color="auto"/>
              <w:left w:val="nil"/>
              <w:bottom w:val="nil"/>
              <w:right w:val="nil"/>
            </w:tcBorders>
          </w:tcPr>
          <w:p w14:paraId="77C8FF67" w14:textId="77777777" w:rsidR="00C149A1" w:rsidRPr="00C149A1" w:rsidRDefault="00C149A1" w:rsidP="00C149A1">
            <w:pPr>
              <w:rPr>
                <w:rFonts w:ascii="Times New Roman" w:eastAsia="Calibri" w:hAnsi="Times New Roman" w:cs="Times New Roman"/>
                <w:sz w:val="20"/>
                <w:szCs w:val="20"/>
              </w:rPr>
            </w:pPr>
            <w:r w:rsidRPr="00C149A1">
              <w:rPr>
                <w:rFonts w:ascii="Times New Roman" w:eastAsia="Calibri" w:hAnsi="Times New Roman" w:cs="Times New Roman"/>
                <w:sz w:val="20"/>
                <w:szCs w:val="20"/>
              </w:rPr>
              <w:t>1.</w:t>
            </w:r>
          </w:p>
        </w:tc>
        <w:tc>
          <w:tcPr>
            <w:tcW w:w="1732" w:type="dxa"/>
            <w:tcBorders>
              <w:top w:val="single" w:sz="18" w:space="0" w:color="auto"/>
              <w:left w:val="nil"/>
              <w:bottom w:val="nil"/>
              <w:right w:val="nil"/>
            </w:tcBorders>
          </w:tcPr>
          <w:p w14:paraId="74FB104B" w14:textId="77777777" w:rsidR="00C149A1" w:rsidRPr="00C149A1" w:rsidRDefault="00C149A1" w:rsidP="00C149A1">
            <w:pPr>
              <w:jc w:val="center"/>
              <w:rPr>
                <w:rFonts w:ascii="Times New Roman" w:eastAsia="Calibri" w:hAnsi="Times New Roman" w:cs="Times New Roman"/>
                <w:sz w:val="20"/>
                <w:szCs w:val="20"/>
              </w:rPr>
            </w:pPr>
            <w:r w:rsidRPr="00C149A1">
              <w:rPr>
                <w:rFonts w:ascii="Times New Roman" w:eastAsia="Calibri" w:hAnsi="Times New Roman" w:cs="Times New Roman"/>
                <w:sz w:val="20"/>
                <w:szCs w:val="20"/>
              </w:rPr>
              <w:t>Journal of Memory and Language (JML) (Robey, 2019)</w:t>
            </w:r>
          </w:p>
        </w:tc>
        <w:tc>
          <w:tcPr>
            <w:tcW w:w="1838" w:type="dxa"/>
            <w:tcBorders>
              <w:top w:val="single" w:sz="18" w:space="0" w:color="auto"/>
              <w:left w:val="nil"/>
              <w:bottom w:val="nil"/>
              <w:right w:val="nil"/>
            </w:tcBorders>
          </w:tcPr>
          <w:p w14:paraId="5EAD1371" w14:textId="77777777" w:rsidR="00C149A1" w:rsidRPr="00C149A1" w:rsidRDefault="00C149A1" w:rsidP="00C149A1">
            <w:pPr>
              <w:numPr>
                <w:ilvl w:val="0"/>
                <w:numId w:val="1"/>
              </w:numPr>
              <w:contextualSpacing/>
              <w:jc w:val="center"/>
              <w:rPr>
                <w:rFonts w:ascii="Times New Roman" w:eastAsia="Calibri" w:hAnsi="Times New Roman" w:cs="Times New Roman"/>
                <w:sz w:val="20"/>
                <w:szCs w:val="20"/>
              </w:rPr>
            </w:pPr>
          </w:p>
        </w:tc>
        <w:tc>
          <w:tcPr>
            <w:tcW w:w="2558" w:type="dxa"/>
            <w:tcBorders>
              <w:top w:val="single" w:sz="18" w:space="0" w:color="auto"/>
              <w:left w:val="nil"/>
              <w:bottom w:val="nil"/>
              <w:right w:val="nil"/>
            </w:tcBorders>
          </w:tcPr>
          <w:p w14:paraId="30CFBC2E"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Concerns regarding these differences </w:t>
            </w:r>
            <w:r w:rsidRPr="00C149A1">
              <w:rPr>
                <w:rFonts w:ascii="Times New Roman" w:eastAsia="Calibri" w:hAnsi="Times New Roman" w:cs="Times New Roman"/>
                <w:b/>
                <w:sz w:val="20"/>
                <w:szCs w:val="20"/>
              </w:rPr>
              <w:t>should</w:t>
            </w:r>
            <w:r w:rsidRPr="00C149A1">
              <w:rPr>
                <w:rFonts w:ascii="Times New Roman" w:eastAsia="Calibri" w:hAnsi="Times New Roman" w:cs="Times New Roman"/>
                <w:sz w:val="20"/>
                <w:szCs w:val="20"/>
              </w:rPr>
              <w:t xml:space="preserve"> be minimal, as Abel and Roediger (2017) have shown that the testing effect is equivalent across blocked and intermixed study designs.</w:t>
            </w:r>
          </w:p>
          <w:p w14:paraId="2C72FA4B"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All results regarding this measure, however, </w:t>
            </w:r>
            <w:r w:rsidRPr="00C149A1">
              <w:rPr>
                <w:rFonts w:ascii="Times New Roman" w:eastAsia="Calibri" w:hAnsi="Times New Roman" w:cs="Times New Roman"/>
                <w:b/>
                <w:sz w:val="20"/>
                <w:szCs w:val="20"/>
              </w:rPr>
              <w:t>should</w:t>
            </w:r>
            <w:r w:rsidRPr="00C149A1">
              <w:rPr>
                <w:rFonts w:ascii="Times New Roman" w:eastAsia="Calibri" w:hAnsi="Times New Roman" w:cs="Times New Roman"/>
                <w:sz w:val="20"/>
                <w:szCs w:val="20"/>
              </w:rPr>
              <w:t xml:space="preserve"> be taken cautiously.</w:t>
            </w:r>
          </w:p>
          <w:p w14:paraId="51F8D0F5"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More work is needed to determine how to best conceptualize how variability in strategy use </w:t>
            </w:r>
            <w:r w:rsidRPr="00C149A1">
              <w:rPr>
                <w:rFonts w:ascii="Times New Roman" w:eastAsia="Calibri" w:hAnsi="Times New Roman" w:cs="Times New Roman"/>
                <w:b/>
                <w:sz w:val="20"/>
                <w:szCs w:val="20"/>
              </w:rPr>
              <w:t>should</w:t>
            </w:r>
            <w:r w:rsidRPr="00C149A1">
              <w:rPr>
                <w:rFonts w:ascii="Times New Roman" w:eastAsia="Calibri" w:hAnsi="Times New Roman" w:cs="Times New Roman"/>
                <w:sz w:val="20"/>
                <w:szCs w:val="20"/>
              </w:rPr>
              <w:t xml:space="preserve"> be measured before it becomes widely used within this domain.</w:t>
            </w:r>
          </w:p>
          <w:p w14:paraId="51752C4E"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Future research hoping to explore strategy variability using the CWS ratio </w:t>
            </w:r>
            <w:r w:rsidRPr="00C149A1">
              <w:rPr>
                <w:rFonts w:ascii="Times New Roman" w:eastAsia="Calibri" w:hAnsi="Times New Roman" w:cs="Times New Roman"/>
                <w:b/>
                <w:sz w:val="20"/>
                <w:szCs w:val="20"/>
              </w:rPr>
              <w:t>should</w:t>
            </w:r>
            <w:r w:rsidRPr="00C149A1">
              <w:rPr>
                <w:rFonts w:ascii="Times New Roman" w:eastAsia="Calibri" w:hAnsi="Times New Roman" w:cs="Times New Roman"/>
                <w:sz w:val="20"/>
                <w:szCs w:val="20"/>
              </w:rPr>
              <w:t xml:space="preserve"> explore how much exposure to a particular task is needed for strategy expertise to develop.</w:t>
            </w:r>
          </w:p>
          <w:p w14:paraId="17319C5B"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Special note </w:t>
            </w:r>
            <w:r w:rsidRPr="00C149A1">
              <w:rPr>
                <w:rFonts w:ascii="Times New Roman" w:eastAsia="Calibri" w:hAnsi="Times New Roman" w:cs="Times New Roman"/>
                <w:b/>
                <w:sz w:val="20"/>
                <w:szCs w:val="20"/>
              </w:rPr>
              <w:t>should</w:t>
            </w:r>
            <w:r w:rsidRPr="00C149A1">
              <w:rPr>
                <w:rFonts w:ascii="Times New Roman" w:eastAsia="Calibri" w:hAnsi="Times New Roman" w:cs="Times New Roman"/>
                <w:sz w:val="20"/>
                <w:szCs w:val="20"/>
              </w:rPr>
              <w:t xml:space="preserve"> be made, however, for how this measure was constructed, as similar measures of shallow and deep strategy use from </w:t>
            </w:r>
            <w:proofErr w:type="spellStart"/>
            <w:r w:rsidRPr="00C149A1">
              <w:rPr>
                <w:rFonts w:ascii="Times New Roman" w:eastAsia="Calibri" w:hAnsi="Times New Roman" w:cs="Times New Roman"/>
                <w:sz w:val="20"/>
                <w:szCs w:val="20"/>
              </w:rPr>
              <w:t>Minear</w:t>
            </w:r>
            <w:proofErr w:type="spellEnd"/>
            <w:r w:rsidRPr="00C149A1">
              <w:rPr>
                <w:rFonts w:ascii="Times New Roman" w:eastAsia="Calibri" w:hAnsi="Times New Roman" w:cs="Times New Roman"/>
                <w:sz w:val="20"/>
                <w:szCs w:val="20"/>
              </w:rPr>
              <w:t xml:space="preserve"> et al. (2018) were not significant.</w:t>
            </w:r>
          </w:p>
          <w:p w14:paraId="654817BD"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It </w:t>
            </w:r>
            <w:r w:rsidRPr="00C149A1">
              <w:rPr>
                <w:rFonts w:ascii="Times New Roman" w:eastAsia="Calibri" w:hAnsi="Times New Roman" w:cs="Times New Roman"/>
                <w:b/>
                <w:sz w:val="20"/>
                <w:szCs w:val="20"/>
              </w:rPr>
              <w:t>should</w:t>
            </w:r>
            <w:r w:rsidRPr="00C149A1">
              <w:rPr>
                <w:rFonts w:ascii="Times New Roman" w:eastAsia="Calibri" w:hAnsi="Times New Roman" w:cs="Times New Roman"/>
                <w:sz w:val="20"/>
                <w:szCs w:val="20"/>
              </w:rPr>
              <w:t xml:space="preserve"> be noted, however, that </w:t>
            </w:r>
            <w:proofErr w:type="spellStart"/>
            <w:r w:rsidRPr="00C149A1">
              <w:rPr>
                <w:rFonts w:ascii="Times New Roman" w:eastAsia="Calibri" w:hAnsi="Times New Roman" w:cs="Times New Roman"/>
                <w:sz w:val="20"/>
                <w:szCs w:val="20"/>
              </w:rPr>
              <w:t>Minear</w:t>
            </w:r>
            <w:proofErr w:type="spellEnd"/>
            <w:r w:rsidRPr="00C149A1">
              <w:rPr>
                <w:rFonts w:ascii="Times New Roman" w:eastAsia="Calibri" w:hAnsi="Times New Roman" w:cs="Times New Roman"/>
                <w:sz w:val="20"/>
                <w:szCs w:val="20"/>
              </w:rPr>
              <w:t xml:space="preserve"> et al. (2018) did find significant results related to shallow and deep strategy use, but only for certain items or when the testing effect was treated as a categorical rather than continuous variable.</w:t>
            </w:r>
          </w:p>
        </w:tc>
        <w:tc>
          <w:tcPr>
            <w:tcW w:w="3679" w:type="dxa"/>
            <w:tcBorders>
              <w:top w:val="single" w:sz="18" w:space="0" w:color="auto"/>
              <w:left w:val="nil"/>
              <w:bottom w:val="nil"/>
              <w:right w:val="nil"/>
            </w:tcBorders>
          </w:tcPr>
          <w:p w14:paraId="19C38ED8"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Results regarding whether this new measure </w:t>
            </w:r>
            <w:r w:rsidRPr="00C149A1">
              <w:rPr>
                <w:rFonts w:ascii="Times New Roman" w:eastAsia="Calibri" w:hAnsi="Times New Roman" w:cs="Times New Roman"/>
                <w:b/>
                <w:sz w:val="20"/>
                <w:szCs w:val="20"/>
              </w:rPr>
              <w:t>could</w:t>
            </w:r>
            <w:r w:rsidRPr="00C149A1">
              <w:rPr>
                <w:rFonts w:ascii="Times New Roman" w:eastAsia="Calibri" w:hAnsi="Times New Roman" w:cs="Times New Roman"/>
                <w:sz w:val="20"/>
                <w:szCs w:val="20"/>
              </w:rPr>
              <w:t xml:space="preserve"> be used to predict the testing effect were largely inconclusive and SEM analyses were all non-significant.</w:t>
            </w:r>
          </w:p>
        </w:tc>
      </w:tr>
      <w:tr w:rsidR="00C149A1" w:rsidRPr="00C149A1" w14:paraId="03A8A5BF" w14:textId="77777777" w:rsidTr="00191DDD">
        <w:tc>
          <w:tcPr>
            <w:tcW w:w="541" w:type="dxa"/>
            <w:tcBorders>
              <w:top w:val="single" w:sz="18" w:space="0" w:color="auto"/>
              <w:left w:val="nil"/>
              <w:bottom w:val="single" w:sz="18" w:space="0" w:color="auto"/>
              <w:right w:val="nil"/>
            </w:tcBorders>
          </w:tcPr>
          <w:p w14:paraId="3AD7F9A9" w14:textId="77777777" w:rsidR="00C149A1" w:rsidRPr="00C149A1" w:rsidRDefault="00C149A1" w:rsidP="00C149A1">
            <w:pPr>
              <w:rPr>
                <w:rFonts w:ascii="Times New Roman" w:eastAsia="Calibri" w:hAnsi="Times New Roman" w:cs="Times New Roman"/>
                <w:sz w:val="20"/>
                <w:szCs w:val="20"/>
              </w:rPr>
            </w:pPr>
            <w:r w:rsidRPr="00C149A1">
              <w:rPr>
                <w:rFonts w:ascii="Times New Roman" w:eastAsia="Calibri" w:hAnsi="Times New Roman" w:cs="Times New Roman"/>
                <w:sz w:val="20"/>
                <w:szCs w:val="20"/>
              </w:rPr>
              <w:t>2.</w:t>
            </w:r>
          </w:p>
        </w:tc>
        <w:tc>
          <w:tcPr>
            <w:tcW w:w="1732" w:type="dxa"/>
            <w:tcBorders>
              <w:top w:val="single" w:sz="18" w:space="0" w:color="auto"/>
              <w:left w:val="nil"/>
              <w:bottom w:val="single" w:sz="18" w:space="0" w:color="auto"/>
              <w:right w:val="nil"/>
            </w:tcBorders>
          </w:tcPr>
          <w:p w14:paraId="0A91950D" w14:textId="77777777" w:rsidR="00C149A1" w:rsidRPr="00C149A1" w:rsidRDefault="00C149A1" w:rsidP="00C149A1">
            <w:pPr>
              <w:jc w:val="center"/>
              <w:rPr>
                <w:rFonts w:ascii="Times New Roman" w:eastAsia="Calibri" w:hAnsi="Times New Roman" w:cs="Times New Roman"/>
                <w:sz w:val="20"/>
                <w:szCs w:val="20"/>
              </w:rPr>
            </w:pPr>
            <w:r w:rsidRPr="00C149A1">
              <w:rPr>
                <w:rFonts w:ascii="Times New Roman" w:eastAsia="Calibri" w:hAnsi="Times New Roman" w:cs="Times New Roman"/>
                <w:sz w:val="20"/>
                <w:szCs w:val="20"/>
              </w:rPr>
              <w:t>Language, Culture and Curriculum (LCC) (Bower, 2019)</w:t>
            </w:r>
          </w:p>
        </w:tc>
        <w:tc>
          <w:tcPr>
            <w:tcW w:w="1838" w:type="dxa"/>
            <w:tcBorders>
              <w:top w:val="single" w:sz="18" w:space="0" w:color="auto"/>
              <w:left w:val="nil"/>
              <w:bottom w:val="single" w:sz="18" w:space="0" w:color="auto"/>
              <w:right w:val="nil"/>
            </w:tcBorders>
          </w:tcPr>
          <w:p w14:paraId="0E0FC03C" w14:textId="77777777" w:rsidR="00C149A1" w:rsidRPr="00C149A1" w:rsidRDefault="00C149A1" w:rsidP="00C149A1">
            <w:pPr>
              <w:numPr>
                <w:ilvl w:val="0"/>
                <w:numId w:val="1"/>
              </w:numPr>
              <w:contextualSpacing/>
              <w:jc w:val="center"/>
              <w:rPr>
                <w:rFonts w:ascii="Times New Roman" w:eastAsia="Calibri" w:hAnsi="Times New Roman" w:cs="Times New Roman"/>
                <w:sz w:val="20"/>
                <w:szCs w:val="20"/>
              </w:rPr>
            </w:pPr>
          </w:p>
        </w:tc>
        <w:tc>
          <w:tcPr>
            <w:tcW w:w="2558" w:type="dxa"/>
            <w:tcBorders>
              <w:top w:val="single" w:sz="18" w:space="0" w:color="auto"/>
              <w:left w:val="nil"/>
              <w:bottom w:val="single" w:sz="18" w:space="0" w:color="auto"/>
              <w:right w:val="nil"/>
            </w:tcBorders>
          </w:tcPr>
          <w:p w14:paraId="0D4E6D3B"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In a national context of prevailing demotivation for language learning, senior leaders, it </w:t>
            </w:r>
            <w:r w:rsidRPr="00C149A1">
              <w:rPr>
                <w:rFonts w:ascii="Times New Roman" w:eastAsia="Calibri" w:hAnsi="Times New Roman" w:cs="Times New Roman"/>
                <w:b/>
                <w:sz w:val="20"/>
                <w:szCs w:val="20"/>
              </w:rPr>
              <w:t>would</w:t>
            </w:r>
            <w:r w:rsidRPr="00C149A1">
              <w:rPr>
                <w:rFonts w:ascii="Times New Roman" w:eastAsia="Calibri" w:hAnsi="Times New Roman" w:cs="Times New Roman"/>
                <w:sz w:val="20"/>
                <w:szCs w:val="20"/>
              </w:rPr>
              <w:t xml:space="preserve"> appear,</w:t>
            </w:r>
          </w:p>
          <w:p w14:paraId="14C12317"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Senior leaders it </w:t>
            </w:r>
            <w:r w:rsidRPr="00C149A1">
              <w:rPr>
                <w:rFonts w:ascii="Times New Roman" w:eastAsia="Calibri" w:hAnsi="Times New Roman" w:cs="Times New Roman"/>
                <w:b/>
                <w:sz w:val="20"/>
                <w:szCs w:val="20"/>
              </w:rPr>
              <w:t>would</w:t>
            </w:r>
            <w:r w:rsidRPr="00C149A1">
              <w:rPr>
                <w:rFonts w:ascii="Times New Roman" w:eastAsia="Calibri" w:hAnsi="Times New Roman" w:cs="Times New Roman"/>
                <w:sz w:val="20"/>
                <w:szCs w:val="20"/>
              </w:rPr>
              <w:t xml:space="preserve"> seem are indeed instrumental to sustaining CLIL in an </w:t>
            </w:r>
            <w:r w:rsidRPr="00C149A1">
              <w:rPr>
                <w:rFonts w:ascii="Times New Roman" w:eastAsia="Calibri" w:hAnsi="Times New Roman" w:cs="Times New Roman"/>
                <w:sz w:val="20"/>
                <w:szCs w:val="20"/>
              </w:rPr>
              <w:lastRenderedPageBreak/>
              <w:t>innovation-limiting culture of accountability.</w:t>
            </w:r>
          </w:p>
          <w:p w14:paraId="506BD4BD"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The next section </w:t>
            </w:r>
            <w:r w:rsidRPr="00C149A1">
              <w:rPr>
                <w:rFonts w:ascii="Times New Roman" w:eastAsia="Calibri" w:hAnsi="Times New Roman" w:cs="Times New Roman"/>
                <w:b/>
                <w:sz w:val="20"/>
                <w:szCs w:val="20"/>
              </w:rPr>
              <w:t>will</w:t>
            </w:r>
            <w:r w:rsidRPr="00C149A1">
              <w:rPr>
                <w:rFonts w:ascii="Times New Roman" w:eastAsia="Calibri" w:hAnsi="Times New Roman" w:cs="Times New Roman"/>
                <w:sz w:val="20"/>
                <w:szCs w:val="20"/>
              </w:rPr>
              <w:t xml:space="preserve"> discuss affordances and constraints arising from issues that emerged from the data.</w:t>
            </w:r>
          </w:p>
          <w:p w14:paraId="53CD3704"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This </w:t>
            </w:r>
            <w:r w:rsidRPr="00C149A1">
              <w:rPr>
                <w:rFonts w:ascii="Times New Roman" w:eastAsia="Calibri" w:hAnsi="Times New Roman" w:cs="Times New Roman"/>
                <w:b/>
                <w:sz w:val="20"/>
                <w:szCs w:val="20"/>
              </w:rPr>
              <w:t>would</w:t>
            </w:r>
            <w:r w:rsidRPr="00C149A1">
              <w:rPr>
                <w:rFonts w:ascii="Times New Roman" w:eastAsia="Calibri" w:hAnsi="Times New Roman" w:cs="Times New Roman"/>
                <w:sz w:val="20"/>
                <w:szCs w:val="20"/>
              </w:rPr>
              <w:t xml:space="preserve"> seem to contradict concerns raised in other contexts (e.g. Bruton, 2011, 2015; Van </w:t>
            </w:r>
            <w:proofErr w:type="spellStart"/>
            <w:r w:rsidRPr="00C149A1">
              <w:rPr>
                <w:rFonts w:ascii="Times New Roman" w:eastAsia="Calibri" w:hAnsi="Times New Roman" w:cs="Times New Roman"/>
                <w:sz w:val="20"/>
                <w:szCs w:val="20"/>
              </w:rPr>
              <w:t>Mensel</w:t>
            </w:r>
            <w:proofErr w:type="spellEnd"/>
            <w:r w:rsidRPr="00C149A1">
              <w:rPr>
                <w:rFonts w:ascii="Times New Roman" w:eastAsia="Calibri" w:hAnsi="Times New Roman" w:cs="Times New Roman"/>
                <w:sz w:val="20"/>
                <w:szCs w:val="20"/>
              </w:rPr>
              <w:t xml:space="preserve"> et al., 2019)</w:t>
            </w:r>
          </w:p>
          <w:p w14:paraId="02C484ED"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It </w:t>
            </w:r>
            <w:r w:rsidRPr="00C149A1">
              <w:rPr>
                <w:rFonts w:ascii="Times New Roman" w:eastAsia="Calibri" w:hAnsi="Times New Roman" w:cs="Times New Roman"/>
                <w:b/>
                <w:sz w:val="20"/>
                <w:szCs w:val="20"/>
              </w:rPr>
              <w:t>will</w:t>
            </w:r>
            <w:r w:rsidRPr="00C149A1">
              <w:rPr>
                <w:rFonts w:ascii="Times New Roman" w:eastAsia="Calibri" w:hAnsi="Times New Roman" w:cs="Times New Roman"/>
                <w:sz w:val="20"/>
                <w:szCs w:val="20"/>
              </w:rPr>
              <w:t xml:space="preserve"> be interesting to see whether within the macro alliances of the new self-improving school system, leaders from such innovations do cross boundaries so that cross-curricular language learning is enabled to develop across England as one curriculum initiative.</w:t>
            </w:r>
          </w:p>
          <w:p w14:paraId="482C1DDD"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To be successful, these </w:t>
            </w:r>
            <w:proofErr w:type="spellStart"/>
            <w:r w:rsidRPr="00C149A1">
              <w:rPr>
                <w:rFonts w:ascii="Times New Roman" w:eastAsia="Calibri" w:hAnsi="Times New Roman" w:cs="Times New Roman"/>
                <w:sz w:val="20"/>
                <w:szCs w:val="20"/>
              </w:rPr>
              <w:t>programmes</w:t>
            </w:r>
            <w:proofErr w:type="spellEnd"/>
            <w:r w:rsidRPr="00C149A1">
              <w:rPr>
                <w:rFonts w:ascii="Times New Roman" w:eastAsia="Calibri" w:hAnsi="Times New Roman" w:cs="Times New Roman"/>
                <w:sz w:val="20"/>
                <w:szCs w:val="20"/>
              </w:rPr>
              <w:t xml:space="preserve"> </w:t>
            </w:r>
            <w:r w:rsidRPr="00C149A1">
              <w:rPr>
                <w:rFonts w:ascii="Times New Roman" w:eastAsia="Calibri" w:hAnsi="Times New Roman" w:cs="Times New Roman"/>
                <w:b/>
                <w:sz w:val="20"/>
                <w:szCs w:val="20"/>
              </w:rPr>
              <w:t>would</w:t>
            </w:r>
            <w:r w:rsidRPr="00C149A1">
              <w:rPr>
                <w:rFonts w:ascii="Times New Roman" w:eastAsia="Calibri" w:hAnsi="Times New Roman" w:cs="Times New Roman"/>
                <w:sz w:val="20"/>
                <w:szCs w:val="20"/>
              </w:rPr>
              <w:t xml:space="preserve"> need to be supported by colleagues with a cogent grasp of the pedagogical theory: understanding why something works is critical if it is to be further developed effectively both in-house and across institutional boundaries.</w:t>
            </w:r>
          </w:p>
          <w:p w14:paraId="5F826FBE"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It </w:t>
            </w:r>
            <w:r w:rsidRPr="00C149A1">
              <w:rPr>
                <w:rFonts w:ascii="Times New Roman" w:eastAsia="Calibri" w:hAnsi="Times New Roman" w:cs="Times New Roman"/>
                <w:b/>
                <w:sz w:val="20"/>
                <w:szCs w:val="20"/>
              </w:rPr>
              <w:t>would</w:t>
            </w:r>
            <w:r w:rsidRPr="00C149A1">
              <w:rPr>
                <w:rFonts w:ascii="Times New Roman" w:eastAsia="Calibri" w:hAnsi="Times New Roman" w:cs="Times New Roman"/>
                <w:sz w:val="20"/>
                <w:szCs w:val="20"/>
              </w:rPr>
              <w:t xml:space="preserve"> be particularly interesting to further investigate CLIL contexts in which motivation to learn a language is traditionally problematic, e.g. Anglophone-dominant contexts, particularly those with compulsory models.</w:t>
            </w:r>
          </w:p>
        </w:tc>
        <w:tc>
          <w:tcPr>
            <w:tcW w:w="3679" w:type="dxa"/>
            <w:tcBorders>
              <w:top w:val="single" w:sz="18" w:space="0" w:color="auto"/>
              <w:left w:val="nil"/>
              <w:bottom w:val="single" w:sz="18" w:space="0" w:color="auto"/>
              <w:right w:val="nil"/>
            </w:tcBorders>
          </w:tcPr>
          <w:p w14:paraId="2A05AF4E"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lastRenderedPageBreak/>
              <w:t xml:space="preserve">…view their CLIL </w:t>
            </w:r>
            <w:proofErr w:type="spellStart"/>
            <w:r w:rsidRPr="00C149A1">
              <w:rPr>
                <w:rFonts w:ascii="Times New Roman" w:eastAsia="Calibri" w:hAnsi="Times New Roman" w:cs="Times New Roman"/>
                <w:sz w:val="20"/>
                <w:szCs w:val="20"/>
              </w:rPr>
              <w:t>programme</w:t>
            </w:r>
            <w:proofErr w:type="spellEnd"/>
            <w:r w:rsidRPr="00C149A1">
              <w:rPr>
                <w:rFonts w:ascii="Times New Roman" w:eastAsia="Calibri" w:hAnsi="Times New Roman" w:cs="Times New Roman"/>
                <w:sz w:val="20"/>
                <w:szCs w:val="20"/>
              </w:rPr>
              <w:t xml:space="preserve"> as part of the solution to the raising attainment agenda whilst acknowledging some of the challenges that introducing CLIL </w:t>
            </w:r>
            <w:r w:rsidRPr="00C149A1">
              <w:rPr>
                <w:rFonts w:ascii="Times New Roman" w:eastAsia="Calibri" w:hAnsi="Times New Roman" w:cs="Times New Roman"/>
                <w:b/>
                <w:sz w:val="20"/>
                <w:szCs w:val="20"/>
              </w:rPr>
              <w:t>can</w:t>
            </w:r>
            <w:r w:rsidRPr="00C149A1">
              <w:rPr>
                <w:rFonts w:ascii="Times New Roman" w:eastAsia="Calibri" w:hAnsi="Times New Roman" w:cs="Times New Roman"/>
                <w:sz w:val="20"/>
                <w:szCs w:val="20"/>
              </w:rPr>
              <w:t xml:space="preserve"> create.</w:t>
            </w:r>
          </w:p>
          <w:p w14:paraId="372310AA"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It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originate in strategic goals (exam success) as well as societal goals but it </w:t>
            </w:r>
            <w:r w:rsidRPr="00C149A1">
              <w:rPr>
                <w:rFonts w:ascii="Times New Roman" w:eastAsia="Calibri" w:hAnsi="Times New Roman" w:cs="Times New Roman"/>
                <w:sz w:val="20"/>
                <w:szCs w:val="20"/>
              </w:rPr>
              <w:lastRenderedPageBreak/>
              <w:t>appears to be sustained by the perceived pedagogical benefits to learners generated by learning in this way.</w:t>
            </w:r>
          </w:p>
          <w:p w14:paraId="57430E9E"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At the meso level, leadership was well established in each context. It is interesting that head teachers and a senior leader in each context understood the impact on school improvement that CLIL was making, or </w:t>
            </w:r>
            <w:r w:rsidRPr="00C149A1">
              <w:rPr>
                <w:rFonts w:ascii="Times New Roman" w:eastAsia="Calibri" w:hAnsi="Times New Roman" w:cs="Times New Roman"/>
                <w:b/>
                <w:sz w:val="20"/>
                <w:szCs w:val="20"/>
              </w:rPr>
              <w:t>could</w:t>
            </w:r>
            <w:r w:rsidRPr="00C149A1">
              <w:rPr>
                <w:rFonts w:ascii="Times New Roman" w:eastAsia="Calibri" w:hAnsi="Times New Roman" w:cs="Times New Roman"/>
                <w:sz w:val="20"/>
                <w:szCs w:val="20"/>
              </w:rPr>
              <w:t xml:space="preserve"> make (Cedar School), and fully supported the </w:t>
            </w:r>
            <w:proofErr w:type="spellStart"/>
            <w:r w:rsidRPr="00C149A1">
              <w:rPr>
                <w:rFonts w:ascii="Times New Roman" w:eastAsia="Calibri" w:hAnsi="Times New Roman" w:cs="Times New Roman"/>
                <w:sz w:val="20"/>
                <w:szCs w:val="20"/>
              </w:rPr>
              <w:t>programme</w:t>
            </w:r>
            <w:proofErr w:type="spellEnd"/>
            <w:r w:rsidRPr="00C149A1">
              <w:rPr>
                <w:rFonts w:ascii="Times New Roman" w:eastAsia="Calibri" w:hAnsi="Times New Roman" w:cs="Times New Roman"/>
                <w:sz w:val="20"/>
                <w:szCs w:val="20"/>
              </w:rPr>
              <w:t>.</w:t>
            </w:r>
          </w:p>
          <w:p w14:paraId="42949A77"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Without this support it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not be possible to implement and to sustain innovations in the face of pressures such accountability measures, the narrow curriculum, initial resistance from staff, pupils or even parents.</w:t>
            </w:r>
          </w:p>
          <w:p w14:paraId="59F6A39E"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that selection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play a significant role in higher outcomes. In the short term, to breach the gap in pedagogical knowledge, teacher educators may have an important role to play in introducing CLIL methodology and practice.</w:t>
            </w:r>
          </w:p>
          <w:p w14:paraId="65EFBCD0"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Institutions within the developing self-improving system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potentially draw on such resources.</w:t>
            </w:r>
          </w:p>
          <w:p w14:paraId="392B5E4A"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Interestingly, interviewees were confident of CLIL’s positive impact on learner progress, without apparently fully understanding how and why this </w:t>
            </w:r>
            <w:r w:rsidRPr="00C149A1">
              <w:rPr>
                <w:rFonts w:ascii="Times New Roman" w:eastAsia="Calibri" w:hAnsi="Times New Roman" w:cs="Times New Roman"/>
                <w:b/>
                <w:sz w:val="20"/>
                <w:szCs w:val="20"/>
              </w:rPr>
              <w:t>might</w:t>
            </w:r>
            <w:r w:rsidRPr="00C149A1">
              <w:rPr>
                <w:rFonts w:ascii="Times New Roman" w:eastAsia="Calibri" w:hAnsi="Times New Roman" w:cs="Times New Roman"/>
                <w:sz w:val="20"/>
                <w:szCs w:val="20"/>
              </w:rPr>
              <w:t xml:space="preserve"> be achieved.</w:t>
            </w:r>
          </w:p>
          <w:p w14:paraId="4FCD17D8"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Perhaps this lack of pedagogical understanding in leaders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have contributed to the slow uptake of CLIL in England compared to that elsewhere in Europe and to its demise when key staff move on.</w:t>
            </w:r>
          </w:p>
          <w:p w14:paraId="0A18A6F1"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In a school development system in which training comes from within, such lack of pedagogical understanding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be of greater significance.</w:t>
            </w:r>
          </w:p>
          <w:p w14:paraId="6EC92D7C"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Challenge to professional integrity (</w:t>
            </w:r>
            <w:proofErr w:type="spellStart"/>
            <w:r w:rsidRPr="00C149A1">
              <w:rPr>
                <w:rFonts w:ascii="Times New Roman" w:eastAsia="Calibri" w:hAnsi="Times New Roman" w:cs="Times New Roman"/>
                <w:sz w:val="20"/>
                <w:szCs w:val="20"/>
              </w:rPr>
              <w:t>Moate</w:t>
            </w:r>
            <w:proofErr w:type="spellEnd"/>
            <w:r w:rsidRPr="00C149A1">
              <w:rPr>
                <w:rFonts w:ascii="Times New Roman" w:eastAsia="Calibri" w:hAnsi="Times New Roman" w:cs="Times New Roman"/>
                <w:sz w:val="20"/>
                <w:szCs w:val="20"/>
              </w:rPr>
              <w:t xml:space="preserve">, 2011) that </w:t>
            </w:r>
            <w:r w:rsidRPr="00C149A1">
              <w:rPr>
                <w:rFonts w:ascii="Times New Roman" w:eastAsia="Calibri" w:hAnsi="Times New Roman" w:cs="Times New Roman"/>
                <w:b/>
                <w:sz w:val="20"/>
                <w:szCs w:val="20"/>
              </w:rPr>
              <w:t>can</w:t>
            </w:r>
            <w:r w:rsidRPr="00C149A1">
              <w:rPr>
                <w:rFonts w:ascii="Times New Roman" w:eastAsia="Calibri" w:hAnsi="Times New Roman" w:cs="Times New Roman"/>
                <w:sz w:val="20"/>
                <w:szCs w:val="20"/>
              </w:rPr>
              <w:t xml:space="preserve"> demotivate teacher practice was not evident in the findings.</w:t>
            </w:r>
          </w:p>
          <w:p w14:paraId="36E2E841"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This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be because the few teachers involved were confident in this approach and had opted to be involved.</w:t>
            </w:r>
          </w:p>
          <w:p w14:paraId="39F4E958"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This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relate to the nation-specific CLIL profile of England– in these schools, learners of all abilities enter their language national exams at least one year earlier than their peers and revert to English for the curriculum subject.</w:t>
            </w:r>
          </w:p>
        </w:tc>
      </w:tr>
      <w:tr w:rsidR="00C149A1" w:rsidRPr="00C149A1" w14:paraId="55A2D3D6" w14:textId="77777777" w:rsidTr="00191DDD">
        <w:tc>
          <w:tcPr>
            <w:tcW w:w="541" w:type="dxa"/>
            <w:tcBorders>
              <w:top w:val="single" w:sz="18" w:space="0" w:color="auto"/>
              <w:left w:val="nil"/>
              <w:bottom w:val="single" w:sz="18" w:space="0" w:color="auto"/>
              <w:right w:val="nil"/>
            </w:tcBorders>
          </w:tcPr>
          <w:p w14:paraId="77EB3C84" w14:textId="77777777" w:rsidR="00C149A1" w:rsidRPr="00C149A1" w:rsidRDefault="00C149A1" w:rsidP="00C149A1">
            <w:pPr>
              <w:rPr>
                <w:rFonts w:ascii="Times New Roman" w:eastAsia="Calibri" w:hAnsi="Times New Roman" w:cs="Times New Roman"/>
                <w:sz w:val="20"/>
                <w:szCs w:val="20"/>
              </w:rPr>
            </w:pPr>
            <w:r w:rsidRPr="00C149A1">
              <w:rPr>
                <w:rFonts w:ascii="Times New Roman" w:eastAsia="Calibri" w:hAnsi="Times New Roman" w:cs="Times New Roman"/>
                <w:sz w:val="20"/>
                <w:szCs w:val="20"/>
              </w:rPr>
              <w:lastRenderedPageBreak/>
              <w:t>3.</w:t>
            </w:r>
          </w:p>
        </w:tc>
        <w:tc>
          <w:tcPr>
            <w:tcW w:w="1732" w:type="dxa"/>
            <w:tcBorders>
              <w:top w:val="single" w:sz="18" w:space="0" w:color="auto"/>
              <w:left w:val="nil"/>
              <w:bottom w:val="single" w:sz="18" w:space="0" w:color="auto"/>
              <w:right w:val="nil"/>
            </w:tcBorders>
          </w:tcPr>
          <w:p w14:paraId="167D93A2" w14:textId="77777777" w:rsidR="00C149A1" w:rsidRPr="00C149A1" w:rsidRDefault="00C149A1" w:rsidP="00C149A1">
            <w:pPr>
              <w:jc w:val="center"/>
              <w:rPr>
                <w:rFonts w:ascii="Times New Roman" w:eastAsia="Calibri" w:hAnsi="Times New Roman" w:cs="Times New Roman"/>
                <w:sz w:val="20"/>
                <w:szCs w:val="20"/>
              </w:rPr>
            </w:pPr>
            <w:r w:rsidRPr="00C149A1">
              <w:rPr>
                <w:rFonts w:ascii="Times New Roman" w:eastAsia="Calibri" w:hAnsi="Times New Roman" w:cs="Times New Roman"/>
                <w:sz w:val="20"/>
                <w:szCs w:val="20"/>
              </w:rPr>
              <w:t>Brain and Language (BL) (Bice &amp; Kroll, 2019)</w:t>
            </w:r>
          </w:p>
        </w:tc>
        <w:tc>
          <w:tcPr>
            <w:tcW w:w="1838" w:type="dxa"/>
            <w:tcBorders>
              <w:top w:val="single" w:sz="18" w:space="0" w:color="auto"/>
              <w:left w:val="nil"/>
              <w:bottom w:val="single" w:sz="18" w:space="0" w:color="auto"/>
              <w:right w:val="nil"/>
            </w:tcBorders>
          </w:tcPr>
          <w:p w14:paraId="6A95751B" w14:textId="77777777" w:rsidR="00C149A1" w:rsidRPr="00C149A1" w:rsidRDefault="00C149A1" w:rsidP="00C149A1">
            <w:pPr>
              <w:numPr>
                <w:ilvl w:val="0"/>
                <w:numId w:val="1"/>
              </w:numPr>
              <w:contextualSpacing/>
              <w:jc w:val="center"/>
              <w:rPr>
                <w:rFonts w:ascii="Times New Roman" w:eastAsia="Calibri" w:hAnsi="Times New Roman" w:cs="Times New Roman"/>
                <w:sz w:val="20"/>
                <w:szCs w:val="20"/>
              </w:rPr>
            </w:pPr>
          </w:p>
        </w:tc>
        <w:tc>
          <w:tcPr>
            <w:tcW w:w="2558" w:type="dxa"/>
            <w:tcBorders>
              <w:top w:val="single" w:sz="18" w:space="0" w:color="auto"/>
              <w:left w:val="nil"/>
              <w:bottom w:val="single" w:sz="18" w:space="0" w:color="auto"/>
              <w:right w:val="nil"/>
            </w:tcBorders>
          </w:tcPr>
          <w:p w14:paraId="02BA830D"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However, if SES were the primary factor, then Pennsylvania monolinguals </w:t>
            </w:r>
            <w:r w:rsidRPr="00C149A1">
              <w:rPr>
                <w:rFonts w:ascii="Times New Roman" w:eastAsia="Calibri" w:hAnsi="Times New Roman" w:cs="Times New Roman"/>
                <w:b/>
                <w:sz w:val="20"/>
                <w:szCs w:val="20"/>
              </w:rPr>
              <w:t>should</w:t>
            </w:r>
            <w:r w:rsidRPr="00C149A1">
              <w:rPr>
                <w:rFonts w:ascii="Times New Roman" w:eastAsia="Calibri" w:hAnsi="Times New Roman" w:cs="Times New Roman"/>
                <w:sz w:val="20"/>
                <w:szCs w:val="20"/>
              </w:rPr>
              <w:t xml:space="preserve"> have outperformed the California monolinguals.</w:t>
            </w:r>
          </w:p>
          <w:p w14:paraId="48422EF6"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lastRenderedPageBreak/>
              <w:t xml:space="preserve">… other consequences for our participants (e.g., access to resources or opportunities) that </w:t>
            </w:r>
            <w:r w:rsidRPr="00C149A1">
              <w:rPr>
                <w:rFonts w:ascii="Times New Roman" w:eastAsia="Calibri" w:hAnsi="Times New Roman" w:cs="Times New Roman"/>
                <w:b/>
                <w:sz w:val="20"/>
                <w:szCs w:val="20"/>
              </w:rPr>
              <w:t>would</w:t>
            </w:r>
            <w:r w:rsidRPr="00C149A1">
              <w:rPr>
                <w:rFonts w:ascii="Times New Roman" w:eastAsia="Calibri" w:hAnsi="Times New Roman" w:cs="Times New Roman"/>
                <w:sz w:val="20"/>
                <w:szCs w:val="20"/>
              </w:rPr>
              <w:t xml:space="preserve"> only have been biased in favor of the Pennsylvania students.</w:t>
            </w:r>
          </w:p>
          <w:p w14:paraId="2E1077C6"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Many studies </w:t>
            </w:r>
            <w:r w:rsidRPr="00C149A1">
              <w:rPr>
                <w:rFonts w:ascii="Times New Roman" w:eastAsia="Calibri" w:hAnsi="Times New Roman" w:cs="Times New Roman"/>
                <w:b/>
                <w:sz w:val="20"/>
                <w:szCs w:val="20"/>
              </w:rPr>
              <w:t>would</w:t>
            </w:r>
            <w:r w:rsidRPr="00C149A1">
              <w:rPr>
                <w:rFonts w:ascii="Times New Roman" w:eastAsia="Calibri" w:hAnsi="Times New Roman" w:cs="Times New Roman"/>
                <w:sz w:val="20"/>
                <w:szCs w:val="20"/>
              </w:rPr>
              <w:t xml:space="preserve"> exclude the monolinguals from California in our sample ….</w:t>
            </w:r>
          </w:p>
          <w:p w14:paraId="48CFC0B2"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b/>
                <w:sz w:val="20"/>
                <w:szCs w:val="20"/>
              </w:rPr>
              <w:t>Would</w:t>
            </w:r>
            <w:r w:rsidRPr="00C149A1">
              <w:rPr>
                <w:rFonts w:ascii="Times New Roman" w:eastAsia="Calibri" w:hAnsi="Times New Roman" w:cs="Times New Roman"/>
                <w:sz w:val="20"/>
                <w:szCs w:val="20"/>
              </w:rPr>
              <w:t xml:space="preserve"> the California monolinguals be better able to learn a new language in a classroom setting?</w:t>
            </w:r>
          </w:p>
          <w:p w14:paraId="6520375E"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In future research it </w:t>
            </w:r>
            <w:r w:rsidRPr="00C149A1">
              <w:rPr>
                <w:rFonts w:ascii="Times New Roman" w:eastAsia="Calibri" w:hAnsi="Times New Roman" w:cs="Times New Roman"/>
                <w:b/>
                <w:sz w:val="20"/>
                <w:szCs w:val="20"/>
              </w:rPr>
              <w:t>will</w:t>
            </w:r>
            <w:r w:rsidRPr="00C149A1">
              <w:rPr>
                <w:rFonts w:ascii="Times New Roman" w:eastAsia="Calibri" w:hAnsi="Times New Roman" w:cs="Times New Roman"/>
                <w:sz w:val="20"/>
                <w:szCs w:val="20"/>
              </w:rPr>
              <w:t xml:space="preserve"> be of great interest to determine whether openness to new learning is created by immersion in a diverse environment itself or whether specific features of the context or language experience are critical.</w:t>
            </w:r>
          </w:p>
          <w:p w14:paraId="1FF8EEA9"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In retrospect, our conclusions </w:t>
            </w:r>
            <w:r w:rsidRPr="00C149A1">
              <w:rPr>
                <w:rFonts w:ascii="Times New Roman" w:eastAsia="Calibri" w:hAnsi="Times New Roman" w:cs="Times New Roman"/>
                <w:b/>
                <w:sz w:val="20"/>
                <w:szCs w:val="20"/>
              </w:rPr>
              <w:t>would</w:t>
            </w:r>
            <w:r w:rsidRPr="00C149A1">
              <w:rPr>
                <w:rFonts w:ascii="Times New Roman" w:eastAsia="Calibri" w:hAnsi="Times New Roman" w:cs="Times New Roman"/>
                <w:sz w:val="20"/>
                <w:szCs w:val="20"/>
              </w:rPr>
              <w:t xml:space="preserve"> be stronger if we had been able to limit the California sample of monolinguals to only those who had been living in the context for most or all of their lives;</w:t>
            </w:r>
          </w:p>
          <w:p w14:paraId="2BE8973F"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Nevertheless, if our sample did include monolinguals who had only recently moved to that context, then the effect </w:t>
            </w:r>
            <w:r w:rsidRPr="00C149A1">
              <w:rPr>
                <w:rFonts w:ascii="Times New Roman" w:eastAsia="Calibri" w:hAnsi="Times New Roman" w:cs="Times New Roman"/>
                <w:b/>
                <w:sz w:val="20"/>
                <w:szCs w:val="20"/>
              </w:rPr>
              <w:t>would</w:t>
            </w:r>
            <w:r w:rsidRPr="00C149A1">
              <w:rPr>
                <w:rFonts w:ascii="Times New Roman" w:eastAsia="Calibri" w:hAnsi="Times New Roman" w:cs="Times New Roman"/>
                <w:sz w:val="20"/>
                <w:szCs w:val="20"/>
              </w:rPr>
              <w:t xml:space="preserve"> likely be smaller, leading to greater noise in the signal or an underestimation of the effect.</w:t>
            </w:r>
          </w:p>
          <w:p w14:paraId="14FF1B2A"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Likewise, we </w:t>
            </w:r>
            <w:r w:rsidRPr="00C149A1">
              <w:rPr>
                <w:rFonts w:ascii="Times New Roman" w:eastAsia="Calibri" w:hAnsi="Times New Roman" w:cs="Times New Roman"/>
                <w:b/>
                <w:sz w:val="20"/>
                <w:szCs w:val="20"/>
              </w:rPr>
              <w:t>would</w:t>
            </w:r>
            <w:r w:rsidRPr="00C149A1">
              <w:rPr>
                <w:rFonts w:ascii="Times New Roman" w:eastAsia="Calibri" w:hAnsi="Times New Roman" w:cs="Times New Roman"/>
                <w:sz w:val="20"/>
                <w:szCs w:val="20"/>
              </w:rPr>
              <w:t xml:space="preserve"> have liked to have been able to ask more detailed questions regarding language experiences, exposure to languages other than those that the participants reported having previously studied, performance in foreign language classes, socioeconomic status, etc.</w:t>
            </w:r>
          </w:p>
          <w:p w14:paraId="19C1D47B" w14:textId="77777777" w:rsidR="00C149A1" w:rsidRPr="00C149A1" w:rsidRDefault="00C149A1" w:rsidP="00C149A1">
            <w:pPr>
              <w:jc w:val="both"/>
              <w:rPr>
                <w:rFonts w:ascii="Times New Roman" w:eastAsia="Calibri" w:hAnsi="Times New Roman" w:cs="Times New Roman"/>
                <w:sz w:val="20"/>
                <w:szCs w:val="20"/>
              </w:rPr>
            </w:pPr>
          </w:p>
        </w:tc>
        <w:tc>
          <w:tcPr>
            <w:tcW w:w="3679" w:type="dxa"/>
            <w:tcBorders>
              <w:top w:val="single" w:sz="18" w:space="0" w:color="auto"/>
              <w:left w:val="nil"/>
              <w:bottom w:val="single" w:sz="18" w:space="0" w:color="auto"/>
              <w:right w:val="nil"/>
            </w:tcBorders>
          </w:tcPr>
          <w:p w14:paraId="3C012B54"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lastRenderedPageBreak/>
              <w:t xml:space="preserve">The observation that the ERP deflection was found in the real words rather than to the violations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imply that the California monolinguals learned something about what forms the real words, rather than </w:t>
            </w:r>
            <w:r w:rsidRPr="00C149A1">
              <w:rPr>
                <w:rFonts w:ascii="Times New Roman" w:eastAsia="Calibri" w:hAnsi="Times New Roman" w:cs="Times New Roman"/>
                <w:sz w:val="20"/>
                <w:szCs w:val="20"/>
              </w:rPr>
              <w:lastRenderedPageBreak/>
              <w:t>something about what made the “fake” words different.</w:t>
            </w:r>
          </w:p>
          <w:p w14:paraId="13E81BA5"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There are potential factors that it was not possible to control in the current study that </w:t>
            </w:r>
            <w:r w:rsidRPr="00C149A1">
              <w:rPr>
                <w:rFonts w:ascii="Times New Roman" w:eastAsia="Calibri" w:hAnsi="Times New Roman" w:cs="Times New Roman"/>
                <w:b/>
                <w:sz w:val="20"/>
                <w:szCs w:val="20"/>
              </w:rPr>
              <w:t>could</w:t>
            </w:r>
            <w:r w:rsidRPr="00C149A1">
              <w:rPr>
                <w:rFonts w:ascii="Times New Roman" w:eastAsia="Calibri" w:hAnsi="Times New Roman" w:cs="Times New Roman"/>
                <w:sz w:val="20"/>
                <w:szCs w:val="20"/>
              </w:rPr>
              <w:t xml:space="preserve"> have impacted the results, including SES.</w:t>
            </w:r>
          </w:p>
          <w:p w14:paraId="4A795285"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Therefore, in many ways, one </w:t>
            </w:r>
            <w:r w:rsidRPr="00C149A1">
              <w:rPr>
                <w:rFonts w:ascii="Times New Roman" w:eastAsia="Calibri" w:hAnsi="Times New Roman" w:cs="Times New Roman"/>
                <w:b/>
                <w:sz w:val="20"/>
                <w:szCs w:val="20"/>
              </w:rPr>
              <w:t>might</w:t>
            </w:r>
            <w:r w:rsidRPr="00C149A1">
              <w:rPr>
                <w:rFonts w:ascii="Times New Roman" w:eastAsia="Calibri" w:hAnsi="Times New Roman" w:cs="Times New Roman"/>
                <w:sz w:val="20"/>
                <w:szCs w:val="20"/>
              </w:rPr>
              <w:t xml:space="preserve"> expect larger differences between the monolingual groups based on SES factors alone, in favor of those living in Pennsylvania.</w:t>
            </w:r>
          </w:p>
          <w:p w14:paraId="2B5FA065"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Although SES differences have not been directly linked to second language learning or learning more generally, particularly in college-age students, the differences in SES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have had other consequences for our participants ….</w:t>
            </w:r>
          </w:p>
          <w:p w14:paraId="0E9901A2"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The ERP differences between the two monolingual groups suggests that ambient linguistic diversity, and the various other factors co-involved in linguistic diversity,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have a positive impact on new language learning.</w:t>
            </w:r>
          </w:p>
          <w:p w14:paraId="1EE06D82"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As noted, there are other factors that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have contributed to these differences.</w:t>
            </w:r>
          </w:p>
          <w:p w14:paraId="22D5DCE9"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Even if ambient linguistic diversity is the factor driving this effect, we </w:t>
            </w:r>
            <w:r w:rsidRPr="00C149A1">
              <w:rPr>
                <w:rFonts w:ascii="Times New Roman" w:eastAsia="Calibri" w:hAnsi="Times New Roman" w:cs="Times New Roman"/>
                <w:b/>
                <w:sz w:val="20"/>
                <w:szCs w:val="20"/>
              </w:rPr>
              <w:t>cannot</w:t>
            </w:r>
            <w:r w:rsidRPr="00C149A1">
              <w:rPr>
                <w:rFonts w:ascii="Times New Roman" w:eastAsia="Calibri" w:hAnsi="Times New Roman" w:cs="Times New Roman"/>
                <w:sz w:val="20"/>
                <w:szCs w:val="20"/>
              </w:rPr>
              <w:t xml:space="preserve"> tell from these data alone whether it is simply overhearing foreign languages, the requirement to interact regularly with non-native speakers of English, or actual differences in past language learning experience.</w:t>
            </w:r>
          </w:p>
          <w:p w14:paraId="01889178"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Living among linguistic diversity not only increases the number of interactions with accented speakers, but also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have consequences for the regional dialect.</w:t>
            </w:r>
          </w:p>
          <w:p w14:paraId="6F414C42"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 for not being what one </w:t>
            </w:r>
            <w:r w:rsidRPr="00C149A1">
              <w:rPr>
                <w:rFonts w:ascii="Times New Roman" w:eastAsia="Calibri" w:hAnsi="Times New Roman" w:cs="Times New Roman"/>
                <w:b/>
                <w:sz w:val="20"/>
                <w:szCs w:val="20"/>
              </w:rPr>
              <w:t>might</w:t>
            </w:r>
            <w:r w:rsidRPr="00C149A1">
              <w:rPr>
                <w:rFonts w:ascii="Times New Roman" w:eastAsia="Calibri" w:hAnsi="Times New Roman" w:cs="Times New Roman"/>
                <w:sz w:val="20"/>
                <w:szCs w:val="20"/>
              </w:rPr>
              <w:t xml:space="preserve"> consider “pure” monolinguals.</w:t>
            </w:r>
          </w:p>
          <w:p w14:paraId="37176B80"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The effects of ambient linguistic diversity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prepare individuals for some, but not all, aspects of new language learning.</w:t>
            </w:r>
          </w:p>
          <w:p w14:paraId="1883E5B1"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However, most studies on language immersion examine late bilinguals who are intentionally learning the language and who are moving from a relatively unilingual context into an immersion context that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itself be unilingual or linguistically diverse.</w:t>
            </w:r>
          </w:p>
          <w:p w14:paraId="170F8920"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This lessened our experimental control and ability to report many variables and factors that </w:t>
            </w:r>
            <w:r w:rsidRPr="00C149A1">
              <w:rPr>
                <w:rFonts w:ascii="Times New Roman" w:eastAsia="Calibri" w:hAnsi="Times New Roman" w:cs="Times New Roman"/>
                <w:b/>
                <w:sz w:val="20"/>
                <w:szCs w:val="20"/>
              </w:rPr>
              <w:t>could</w:t>
            </w:r>
            <w:r w:rsidRPr="00C149A1">
              <w:rPr>
                <w:rFonts w:ascii="Times New Roman" w:eastAsia="Calibri" w:hAnsi="Times New Roman" w:cs="Times New Roman"/>
                <w:sz w:val="20"/>
                <w:szCs w:val="20"/>
              </w:rPr>
              <w:t xml:space="preserve"> have been useful for disentangling the source of the effects.</w:t>
            </w:r>
          </w:p>
          <w:p w14:paraId="4A0C5196"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However, despite the lack of empirical measures to describe how these groups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differ, we fully believe that the differences between contexts and the effects on language learning reported here are true and representative.</w:t>
            </w:r>
          </w:p>
        </w:tc>
      </w:tr>
      <w:tr w:rsidR="00C149A1" w:rsidRPr="00C149A1" w14:paraId="185C22A7" w14:textId="77777777" w:rsidTr="00191DDD">
        <w:tc>
          <w:tcPr>
            <w:tcW w:w="541" w:type="dxa"/>
            <w:tcBorders>
              <w:top w:val="single" w:sz="18" w:space="0" w:color="auto"/>
              <w:left w:val="nil"/>
              <w:bottom w:val="single" w:sz="18" w:space="0" w:color="auto"/>
              <w:right w:val="nil"/>
            </w:tcBorders>
          </w:tcPr>
          <w:p w14:paraId="62A5AB9B" w14:textId="77777777" w:rsidR="00C149A1" w:rsidRPr="00C149A1" w:rsidRDefault="00C149A1" w:rsidP="00C149A1">
            <w:pPr>
              <w:rPr>
                <w:rFonts w:ascii="Times New Roman" w:eastAsia="Calibri" w:hAnsi="Times New Roman" w:cs="Times New Roman"/>
                <w:sz w:val="20"/>
                <w:szCs w:val="20"/>
              </w:rPr>
            </w:pPr>
            <w:r w:rsidRPr="00C149A1">
              <w:rPr>
                <w:rFonts w:ascii="Times New Roman" w:eastAsia="Calibri" w:hAnsi="Times New Roman" w:cs="Times New Roman"/>
                <w:sz w:val="20"/>
                <w:szCs w:val="20"/>
              </w:rPr>
              <w:lastRenderedPageBreak/>
              <w:t>4.</w:t>
            </w:r>
          </w:p>
        </w:tc>
        <w:tc>
          <w:tcPr>
            <w:tcW w:w="1732" w:type="dxa"/>
            <w:tcBorders>
              <w:top w:val="single" w:sz="18" w:space="0" w:color="auto"/>
              <w:left w:val="nil"/>
              <w:bottom w:val="single" w:sz="18" w:space="0" w:color="auto"/>
              <w:right w:val="nil"/>
            </w:tcBorders>
          </w:tcPr>
          <w:p w14:paraId="08B5449C" w14:textId="77777777" w:rsidR="00C149A1" w:rsidRPr="00C149A1" w:rsidRDefault="00C149A1" w:rsidP="00C149A1">
            <w:pPr>
              <w:jc w:val="center"/>
              <w:rPr>
                <w:rFonts w:ascii="Times New Roman" w:eastAsia="Calibri" w:hAnsi="Times New Roman" w:cs="Times New Roman"/>
                <w:sz w:val="20"/>
                <w:szCs w:val="20"/>
              </w:rPr>
            </w:pPr>
            <w:r w:rsidRPr="00C149A1">
              <w:rPr>
                <w:rFonts w:ascii="Times New Roman" w:eastAsia="Calibri" w:hAnsi="Times New Roman" w:cs="Times New Roman"/>
                <w:sz w:val="20"/>
                <w:szCs w:val="20"/>
              </w:rPr>
              <w:t>Language, Cognition and Neuroscience (LCN) (Kaiser, 2019)</w:t>
            </w:r>
          </w:p>
        </w:tc>
        <w:tc>
          <w:tcPr>
            <w:tcW w:w="1838" w:type="dxa"/>
            <w:tcBorders>
              <w:top w:val="single" w:sz="18" w:space="0" w:color="auto"/>
              <w:left w:val="nil"/>
              <w:bottom w:val="single" w:sz="18" w:space="0" w:color="auto"/>
              <w:right w:val="nil"/>
            </w:tcBorders>
          </w:tcPr>
          <w:p w14:paraId="2D15CC58"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These results suggest that language users separately track expectations about who </w:t>
            </w:r>
            <w:r w:rsidRPr="00C149A1">
              <w:rPr>
                <w:rFonts w:ascii="Times New Roman" w:eastAsia="Calibri" w:hAnsi="Times New Roman" w:cs="Times New Roman"/>
                <w:b/>
                <w:sz w:val="20"/>
                <w:szCs w:val="20"/>
              </w:rPr>
              <w:t>is likely to be</w:t>
            </w:r>
            <w:r w:rsidRPr="00C149A1">
              <w:rPr>
                <w:rFonts w:ascii="Times New Roman" w:eastAsia="Calibri" w:hAnsi="Times New Roman" w:cs="Times New Roman"/>
                <w:sz w:val="20"/>
                <w:szCs w:val="20"/>
              </w:rPr>
              <w:t xml:space="preserve"> mentioned next and what kind of event </w:t>
            </w:r>
            <w:r w:rsidRPr="00C149A1">
              <w:rPr>
                <w:rFonts w:ascii="Times New Roman" w:eastAsia="Calibri" w:hAnsi="Times New Roman" w:cs="Times New Roman"/>
                <w:b/>
                <w:sz w:val="20"/>
                <w:szCs w:val="20"/>
              </w:rPr>
              <w:t>is likely to be</w:t>
            </w:r>
            <w:r w:rsidRPr="00C149A1">
              <w:rPr>
                <w:rFonts w:ascii="Times New Roman" w:eastAsia="Calibri" w:hAnsi="Times New Roman" w:cs="Times New Roman"/>
                <w:sz w:val="20"/>
                <w:szCs w:val="20"/>
              </w:rPr>
              <w:t xml:space="preserve"> mentioned next.</w:t>
            </w:r>
          </w:p>
        </w:tc>
        <w:tc>
          <w:tcPr>
            <w:tcW w:w="2558" w:type="dxa"/>
            <w:tcBorders>
              <w:top w:val="single" w:sz="18" w:space="0" w:color="auto"/>
              <w:left w:val="nil"/>
              <w:bottom w:val="single" w:sz="18" w:space="0" w:color="auto"/>
              <w:right w:val="nil"/>
            </w:tcBorders>
          </w:tcPr>
          <w:p w14:paraId="384D243C" w14:textId="77777777" w:rsidR="00C149A1" w:rsidRPr="00C149A1" w:rsidRDefault="00C149A1" w:rsidP="00C149A1">
            <w:pPr>
              <w:jc w:val="center"/>
              <w:rPr>
                <w:rFonts w:ascii="Times New Roman" w:eastAsia="Calibri" w:hAnsi="Times New Roman" w:cs="Times New Roman"/>
                <w:sz w:val="20"/>
                <w:szCs w:val="20"/>
              </w:rPr>
            </w:pPr>
          </w:p>
        </w:tc>
        <w:tc>
          <w:tcPr>
            <w:tcW w:w="3679" w:type="dxa"/>
            <w:tcBorders>
              <w:top w:val="single" w:sz="18" w:space="0" w:color="auto"/>
              <w:left w:val="nil"/>
              <w:bottom w:val="single" w:sz="18" w:space="0" w:color="auto"/>
              <w:right w:val="nil"/>
            </w:tcBorders>
          </w:tcPr>
          <w:p w14:paraId="0273EA97"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Prior linguistic work leaves open the question of whether the prominence of entities and events in mental models of discourse </w:t>
            </w:r>
            <w:r w:rsidRPr="00C149A1">
              <w:rPr>
                <w:rFonts w:ascii="Times New Roman" w:eastAsia="Calibri" w:hAnsi="Times New Roman" w:cs="Times New Roman"/>
                <w:b/>
                <w:sz w:val="20"/>
                <w:szCs w:val="20"/>
              </w:rPr>
              <w:t xml:space="preserve">can </w:t>
            </w:r>
            <w:r w:rsidRPr="00C149A1">
              <w:rPr>
                <w:rFonts w:ascii="Times New Roman" w:eastAsia="Calibri" w:hAnsi="Times New Roman" w:cs="Times New Roman"/>
                <w:sz w:val="20"/>
                <w:szCs w:val="20"/>
              </w:rPr>
              <w:t>be dissociated.</w:t>
            </w:r>
          </w:p>
          <w:p w14:paraId="33FB5FB3" w14:textId="77777777" w:rsidR="00C149A1" w:rsidRPr="00C149A1" w:rsidRDefault="00C149A1" w:rsidP="00C149A1">
            <w:pPr>
              <w:jc w:val="both"/>
              <w:rPr>
                <w:rFonts w:ascii="Times New Roman" w:eastAsia="Calibri" w:hAnsi="Times New Roman" w:cs="Times New Roman"/>
                <w:sz w:val="20"/>
                <w:szCs w:val="20"/>
              </w:rPr>
            </w:pPr>
          </w:p>
          <w:p w14:paraId="4D931C63" w14:textId="77777777" w:rsidR="00C149A1" w:rsidRPr="00C149A1" w:rsidRDefault="00C149A1" w:rsidP="00C149A1">
            <w:pPr>
              <w:jc w:val="both"/>
              <w:rPr>
                <w:rFonts w:ascii="Times New Roman" w:eastAsia="Calibri" w:hAnsi="Times New Roman" w:cs="Times New Roman"/>
                <w:sz w:val="20"/>
                <w:szCs w:val="20"/>
              </w:rPr>
            </w:pPr>
          </w:p>
          <w:p w14:paraId="1FB4E1F3" w14:textId="77777777" w:rsidR="00C149A1" w:rsidRPr="00C149A1" w:rsidRDefault="00C149A1" w:rsidP="00C149A1">
            <w:pPr>
              <w:jc w:val="both"/>
              <w:rPr>
                <w:rFonts w:ascii="Times New Roman" w:eastAsia="Calibri" w:hAnsi="Times New Roman" w:cs="Times New Roman"/>
                <w:sz w:val="20"/>
                <w:szCs w:val="20"/>
              </w:rPr>
            </w:pPr>
          </w:p>
          <w:p w14:paraId="794CF4E6" w14:textId="77777777" w:rsidR="00C149A1" w:rsidRPr="00C149A1" w:rsidRDefault="00C149A1" w:rsidP="00C149A1">
            <w:pPr>
              <w:jc w:val="both"/>
              <w:rPr>
                <w:rFonts w:ascii="Times New Roman" w:eastAsia="Calibri" w:hAnsi="Times New Roman" w:cs="Times New Roman"/>
                <w:sz w:val="20"/>
                <w:szCs w:val="20"/>
              </w:rPr>
            </w:pPr>
          </w:p>
        </w:tc>
      </w:tr>
      <w:tr w:rsidR="00C149A1" w:rsidRPr="00C149A1" w14:paraId="5BDE7CF3" w14:textId="77777777" w:rsidTr="00191DDD">
        <w:tc>
          <w:tcPr>
            <w:tcW w:w="541" w:type="dxa"/>
            <w:tcBorders>
              <w:top w:val="single" w:sz="18" w:space="0" w:color="auto"/>
              <w:left w:val="nil"/>
              <w:bottom w:val="single" w:sz="18" w:space="0" w:color="auto"/>
              <w:right w:val="nil"/>
            </w:tcBorders>
          </w:tcPr>
          <w:p w14:paraId="21AA2754" w14:textId="77777777" w:rsidR="00C149A1" w:rsidRPr="00C149A1" w:rsidRDefault="00C149A1" w:rsidP="00C149A1">
            <w:pPr>
              <w:rPr>
                <w:rFonts w:ascii="Times New Roman" w:eastAsia="Calibri" w:hAnsi="Times New Roman" w:cs="Times New Roman"/>
                <w:sz w:val="20"/>
                <w:szCs w:val="20"/>
              </w:rPr>
            </w:pPr>
            <w:r w:rsidRPr="00C149A1">
              <w:rPr>
                <w:rFonts w:ascii="Times New Roman" w:eastAsia="Calibri" w:hAnsi="Times New Roman" w:cs="Times New Roman"/>
                <w:sz w:val="20"/>
                <w:szCs w:val="20"/>
              </w:rPr>
              <w:t>5.</w:t>
            </w:r>
          </w:p>
        </w:tc>
        <w:tc>
          <w:tcPr>
            <w:tcW w:w="1732" w:type="dxa"/>
            <w:tcBorders>
              <w:top w:val="single" w:sz="18" w:space="0" w:color="auto"/>
              <w:left w:val="nil"/>
              <w:bottom w:val="single" w:sz="18" w:space="0" w:color="auto"/>
              <w:right w:val="nil"/>
            </w:tcBorders>
          </w:tcPr>
          <w:p w14:paraId="17B38002" w14:textId="77777777" w:rsidR="00C149A1" w:rsidRPr="00C149A1" w:rsidRDefault="00C149A1" w:rsidP="00C149A1">
            <w:pPr>
              <w:jc w:val="center"/>
              <w:rPr>
                <w:rFonts w:ascii="Times New Roman" w:eastAsia="Calibri" w:hAnsi="Times New Roman" w:cs="Times New Roman"/>
                <w:sz w:val="20"/>
                <w:szCs w:val="20"/>
              </w:rPr>
            </w:pPr>
            <w:r w:rsidRPr="00C149A1">
              <w:rPr>
                <w:rFonts w:ascii="Times New Roman" w:eastAsia="Calibri" w:hAnsi="Times New Roman" w:cs="Times New Roman"/>
                <w:sz w:val="20"/>
                <w:szCs w:val="20"/>
              </w:rPr>
              <w:t>Journal of Child Language (JCL) (Jones &amp; Brant, 2019)</w:t>
            </w:r>
          </w:p>
        </w:tc>
        <w:tc>
          <w:tcPr>
            <w:tcW w:w="1838" w:type="dxa"/>
            <w:tcBorders>
              <w:top w:val="single" w:sz="18" w:space="0" w:color="auto"/>
              <w:left w:val="nil"/>
              <w:bottom w:val="single" w:sz="18" w:space="0" w:color="auto"/>
              <w:right w:val="nil"/>
            </w:tcBorders>
          </w:tcPr>
          <w:p w14:paraId="5C4292EF"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A limitation of the current study is that </w:t>
            </w:r>
            <w:r w:rsidRPr="00C149A1">
              <w:rPr>
                <w:rFonts w:ascii="Times New Roman" w:eastAsia="Calibri" w:hAnsi="Times New Roman" w:cs="Times New Roman"/>
                <w:b/>
                <w:sz w:val="20"/>
                <w:szCs w:val="20"/>
              </w:rPr>
              <w:t>it is impossible to</w:t>
            </w:r>
            <w:r w:rsidRPr="00C149A1">
              <w:rPr>
                <w:rFonts w:ascii="Times New Roman" w:eastAsia="Calibri" w:hAnsi="Times New Roman" w:cs="Times New Roman"/>
                <w:sz w:val="20"/>
                <w:szCs w:val="20"/>
              </w:rPr>
              <w:t xml:space="preserve"> provide evidence for any causal account on the basis of correlational data alone.</w:t>
            </w:r>
          </w:p>
          <w:p w14:paraId="010BBC3C"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What the current study shows is that any explanatory model of early vocabulary development, particularly of early word production, </w:t>
            </w:r>
            <w:r w:rsidRPr="00C149A1">
              <w:rPr>
                <w:rFonts w:ascii="Times New Roman" w:eastAsia="Calibri" w:hAnsi="Times New Roman" w:cs="Times New Roman"/>
                <w:b/>
                <w:sz w:val="20"/>
                <w:szCs w:val="20"/>
              </w:rPr>
              <w:t xml:space="preserve">must </w:t>
            </w:r>
            <w:r w:rsidRPr="00C149A1">
              <w:rPr>
                <w:rFonts w:ascii="Times New Roman" w:eastAsia="Calibri" w:hAnsi="Times New Roman" w:cs="Times New Roman"/>
                <w:sz w:val="20"/>
                <w:szCs w:val="20"/>
              </w:rPr>
              <w:t>account for word sound features.</w:t>
            </w:r>
          </w:p>
        </w:tc>
        <w:tc>
          <w:tcPr>
            <w:tcW w:w="2558" w:type="dxa"/>
            <w:tcBorders>
              <w:top w:val="single" w:sz="18" w:space="0" w:color="auto"/>
              <w:left w:val="nil"/>
              <w:bottom w:val="single" w:sz="18" w:space="0" w:color="auto"/>
              <w:right w:val="nil"/>
            </w:tcBorders>
          </w:tcPr>
          <w:p w14:paraId="3A41025E" w14:textId="77777777" w:rsidR="00C149A1" w:rsidRPr="00C149A1" w:rsidRDefault="00C149A1" w:rsidP="00C149A1">
            <w:pPr>
              <w:jc w:val="center"/>
              <w:rPr>
                <w:rFonts w:ascii="Times New Roman" w:eastAsia="Calibri" w:hAnsi="Times New Roman" w:cs="Times New Roman"/>
                <w:sz w:val="20"/>
                <w:szCs w:val="20"/>
              </w:rPr>
            </w:pPr>
          </w:p>
        </w:tc>
        <w:tc>
          <w:tcPr>
            <w:tcW w:w="3679" w:type="dxa"/>
            <w:tcBorders>
              <w:top w:val="single" w:sz="18" w:space="0" w:color="auto"/>
              <w:left w:val="nil"/>
              <w:bottom w:val="single" w:sz="18" w:space="0" w:color="auto"/>
              <w:right w:val="nil"/>
            </w:tcBorders>
          </w:tcPr>
          <w:p w14:paraId="6B04AF4E"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A word with such characteristics but complex phonology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be </w:t>
            </w:r>
            <w:proofErr w:type="spellStart"/>
            <w:r w:rsidRPr="00C149A1">
              <w:rPr>
                <w:rFonts w:ascii="Times New Roman" w:eastAsia="Calibri" w:hAnsi="Times New Roman" w:cs="Times New Roman"/>
                <w:sz w:val="20"/>
                <w:szCs w:val="20"/>
              </w:rPr>
              <w:t>memorised</w:t>
            </w:r>
            <w:proofErr w:type="spellEnd"/>
            <w:r w:rsidRPr="00C149A1">
              <w:rPr>
                <w:rFonts w:ascii="Times New Roman" w:eastAsia="Calibri" w:hAnsi="Times New Roman" w:cs="Times New Roman"/>
                <w:sz w:val="20"/>
                <w:szCs w:val="20"/>
              </w:rPr>
              <w:t xml:space="preserve"> imperfectly, which may be sufficient if the child is required to </w:t>
            </w:r>
            <w:proofErr w:type="spellStart"/>
            <w:r w:rsidRPr="00C149A1">
              <w:rPr>
                <w:rFonts w:ascii="Times New Roman" w:eastAsia="Calibri" w:hAnsi="Times New Roman" w:cs="Times New Roman"/>
                <w:sz w:val="20"/>
                <w:szCs w:val="20"/>
              </w:rPr>
              <w:t>recognise</w:t>
            </w:r>
            <w:proofErr w:type="spellEnd"/>
            <w:r w:rsidRPr="00C149A1">
              <w:rPr>
                <w:rFonts w:ascii="Times New Roman" w:eastAsia="Calibri" w:hAnsi="Times New Roman" w:cs="Times New Roman"/>
                <w:sz w:val="20"/>
                <w:szCs w:val="20"/>
              </w:rPr>
              <w:t xml:space="preserve"> and respond to, though not necessary produce, such a word (e.g., “Eat your breakfast!”</w:t>
            </w:r>
          </w:p>
          <w:p w14:paraId="2DC642DE" w14:textId="77777777" w:rsidR="00C149A1" w:rsidRPr="00C149A1" w:rsidRDefault="00C149A1" w:rsidP="00C149A1">
            <w:pPr>
              <w:jc w:val="both"/>
              <w:rPr>
                <w:rFonts w:ascii="Times New Roman" w:eastAsia="Calibri" w:hAnsi="Times New Roman" w:cs="Times New Roman"/>
                <w:sz w:val="20"/>
                <w:szCs w:val="20"/>
              </w:rPr>
            </w:pPr>
            <w:r w:rsidRPr="00C149A1">
              <w:rPr>
                <w:rFonts w:ascii="Times New Roman" w:eastAsia="Calibri" w:hAnsi="Times New Roman" w:cs="Times New Roman"/>
                <w:sz w:val="20"/>
                <w:szCs w:val="20"/>
              </w:rPr>
              <w:t xml:space="preserve">As a result, young children </w:t>
            </w:r>
            <w:r w:rsidRPr="00C149A1">
              <w:rPr>
                <w:rFonts w:ascii="Times New Roman" w:eastAsia="Calibri" w:hAnsi="Times New Roman" w:cs="Times New Roman"/>
                <w:b/>
                <w:sz w:val="20"/>
                <w:szCs w:val="20"/>
              </w:rPr>
              <w:t>may</w:t>
            </w:r>
            <w:r w:rsidRPr="00C149A1">
              <w:rPr>
                <w:rFonts w:ascii="Times New Roman" w:eastAsia="Calibri" w:hAnsi="Times New Roman" w:cs="Times New Roman"/>
                <w:sz w:val="20"/>
                <w:szCs w:val="20"/>
              </w:rPr>
              <w:t xml:space="preserve"> tend implicitly towards acquiring new words comprising familiar phonological patterns.</w:t>
            </w:r>
          </w:p>
          <w:p w14:paraId="29FFF81F" w14:textId="77777777" w:rsidR="00C149A1" w:rsidRPr="00C149A1" w:rsidRDefault="00C149A1" w:rsidP="00C149A1">
            <w:pPr>
              <w:jc w:val="both"/>
              <w:rPr>
                <w:rFonts w:ascii="Times New Roman" w:eastAsia="Calibri" w:hAnsi="Times New Roman" w:cs="Times New Roman"/>
                <w:sz w:val="20"/>
                <w:szCs w:val="20"/>
              </w:rPr>
            </w:pPr>
          </w:p>
        </w:tc>
      </w:tr>
    </w:tbl>
    <w:p w14:paraId="016C5F42" w14:textId="77777777" w:rsidR="00C149A1" w:rsidRPr="00C149A1" w:rsidRDefault="00C149A1" w:rsidP="00C149A1">
      <w:pPr>
        <w:rPr>
          <w:rFonts w:ascii="Times New Roman" w:eastAsia="Calibri" w:hAnsi="Times New Roman" w:cs="Times New Roman"/>
          <w:sz w:val="20"/>
          <w:szCs w:val="20"/>
        </w:rPr>
      </w:pPr>
    </w:p>
    <w:p w14:paraId="358F0673" w14:textId="77777777" w:rsidR="00C149A1" w:rsidRPr="00C149A1" w:rsidRDefault="00C149A1" w:rsidP="00C149A1">
      <w:pPr>
        <w:jc w:val="both"/>
        <w:rPr>
          <w:rFonts w:ascii="Times New Roman" w:eastAsia="Calibri" w:hAnsi="Times New Roman" w:cs="Times New Roman"/>
          <w:sz w:val="20"/>
          <w:szCs w:val="20"/>
        </w:rPr>
      </w:pPr>
    </w:p>
    <w:p w14:paraId="4AF72858" w14:textId="77777777" w:rsidR="00C149A1" w:rsidRPr="00C149A1" w:rsidRDefault="00C149A1" w:rsidP="00C149A1">
      <w:pPr>
        <w:jc w:val="center"/>
        <w:rPr>
          <w:rFonts w:ascii="Times New Roman" w:eastAsia="Calibri" w:hAnsi="Times New Roman" w:cs="Times New Roman"/>
          <w:sz w:val="20"/>
          <w:szCs w:val="20"/>
        </w:rPr>
      </w:pPr>
    </w:p>
    <w:p w14:paraId="06D3909D" w14:textId="77777777" w:rsidR="00C149A1" w:rsidRPr="00C149A1" w:rsidRDefault="00C149A1" w:rsidP="00C149A1">
      <w:pPr>
        <w:spacing w:line="240" w:lineRule="auto"/>
        <w:rPr>
          <w:rFonts w:ascii="Times New Roman" w:eastAsia="Calibri" w:hAnsi="Times New Roman" w:cs="Times New Roman"/>
          <w:sz w:val="20"/>
          <w:szCs w:val="20"/>
        </w:rPr>
      </w:pPr>
    </w:p>
    <w:p w14:paraId="211E05E5" w14:textId="77777777" w:rsidR="00C149A1" w:rsidRDefault="00C149A1"/>
    <w:sectPr w:rsidR="00C149A1" w:rsidSect="00556E10">
      <w:footerReference w:type="default" r:id="rId5"/>
      <w:pgSz w:w="12240" w:h="15840"/>
      <w:pgMar w:top="1134" w:right="1440"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F85F0" w14:textId="77777777" w:rsidR="00C85AED" w:rsidRDefault="0081562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4414E"/>
    <w:multiLevelType w:val="hybridMultilevel"/>
    <w:tmpl w:val="C7B8950A"/>
    <w:lvl w:ilvl="0" w:tplc="7D000F8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A1"/>
    <w:rsid w:val="004C0EBC"/>
    <w:rsid w:val="0081562A"/>
    <w:rsid w:val="00C149A1"/>
    <w:rsid w:val="00DE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97BC"/>
  <w15:chartTrackingRefBased/>
  <w15:docId w15:val="{B20C2E63-8903-451E-97C5-64AA97C4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4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1433</Words>
  <Characters>8173</Characters>
  <Application>Microsoft Office Word</Application>
  <DocSecurity>0</DocSecurity>
  <Lines>68</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Wawan Hendrawan</dc:creator>
  <cp:keywords/>
  <dc:description/>
  <cp:lastModifiedBy>Wawan Hendrawan</cp:lastModifiedBy>
  <cp:revision>5</cp:revision>
  <dcterms:created xsi:type="dcterms:W3CDTF">2020-06-26T07:03:00Z</dcterms:created>
  <dcterms:modified xsi:type="dcterms:W3CDTF">2020-06-26T07:04:00Z</dcterms:modified>
</cp:coreProperties>
</file>