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23183" w14:textId="77777777" w:rsidR="00C149A1" w:rsidRPr="00C149A1" w:rsidRDefault="00C149A1" w:rsidP="004C0EBC">
      <w:pPr>
        <w:jc w:val="center"/>
        <w:rPr>
          <w:rFonts w:ascii="Times New Roman" w:eastAsia="Calibri" w:hAnsi="Times New Roman" w:cs="Times New Roman"/>
          <w:b/>
          <w:sz w:val="28"/>
          <w:szCs w:val="28"/>
        </w:rPr>
      </w:pPr>
      <w:r w:rsidRPr="00C149A1">
        <w:rPr>
          <w:rFonts w:ascii="Times New Roman" w:eastAsia="Calibri" w:hAnsi="Times New Roman" w:cs="Times New Roman"/>
          <w:b/>
          <w:sz w:val="28"/>
          <w:szCs w:val="28"/>
        </w:rPr>
        <w:t>Appendices</w:t>
      </w:r>
    </w:p>
    <w:p w14:paraId="45921A59" w14:textId="77777777" w:rsidR="00C149A1" w:rsidRPr="00C149A1" w:rsidRDefault="00C149A1" w:rsidP="00C149A1">
      <w:pPr>
        <w:rPr>
          <w:rFonts w:ascii="Times New Roman" w:eastAsia="Calibri" w:hAnsi="Times New Roman" w:cs="Times New Roman"/>
          <w:b/>
          <w:sz w:val="20"/>
          <w:szCs w:val="20"/>
        </w:rPr>
      </w:pPr>
    </w:p>
    <w:tbl>
      <w:tblPr>
        <w:tblStyle w:val="TableGrid"/>
        <w:tblW w:w="10348" w:type="dxa"/>
        <w:tblLook w:val="04A0" w:firstRow="1" w:lastRow="0" w:firstColumn="1" w:lastColumn="0" w:noHBand="0" w:noVBand="1"/>
      </w:tblPr>
      <w:tblGrid>
        <w:gridCol w:w="541"/>
        <w:gridCol w:w="1732"/>
        <w:gridCol w:w="1838"/>
        <w:gridCol w:w="2558"/>
        <w:gridCol w:w="3679"/>
      </w:tblGrid>
      <w:tr w:rsidR="00C149A1" w:rsidRPr="00C149A1" w14:paraId="6C41DC12" w14:textId="77777777" w:rsidTr="00191DDD">
        <w:tc>
          <w:tcPr>
            <w:tcW w:w="541" w:type="dxa"/>
            <w:tcBorders>
              <w:top w:val="single" w:sz="18" w:space="0" w:color="auto"/>
              <w:left w:val="nil"/>
              <w:bottom w:val="nil"/>
              <w:right w:val="nil"/>
            </w:tcBorders>
          </w:tcPr>
          <w:p w14:paraId="1109A52C" w14:textId="77777777" w:rsidR="00C149A1" w:rsidRPr="00C149A1" w:rsidRDefault="00C149A1" w:rsidP="00C149A1">
            <w:pPr>
              <w:jc w:val="center"/>
              <w:rPr>
                <w:rFonts w:ascii="Times New Roman" w:eastAsia="Calibri" w:hAnsi="Times New Roman" w:cs="Times New Roman"/>
                <w:b/>
                <w:sz w:val="20"/>
                <w:szCs w:val="20"/>
                <w:u w:val="single"/>
              </w:rPr>
            </w:pPr>
            <w:r w:rsidRPr="00C149A1">
              <w:rPr>
                <w:rFonts w:ascii="Times New Roman" w:eastAsia="Calibri" w:hAnsi="Times New Roman" w:cs="Times New Roman"/>
                <w:b/>
                <w:sz w:val="20"/>
                <w:szCs w:val="20"/>
                <w:u w:val="single"/>
              </w:rPr>
              <w:t>No.</w:t>
            </w:r>
          </w:p>
        </w:tc>
        <w:tc>
          <w:tcPr>
            <w:tcW w:w="1732" w:type="dxa"/>
            <w:tcBorders>
              <w:top w:val="single" w:sz="18" w:space="0" w:color="auto"/>
              <w:left w:val="nil"/>
              <w:bottom w:val="nil"/>
              <w:right w:val="nil"/>
            </w:tcBorders>
          </w:tcPr>
          <w:p w14:paraId="3A123E7C" w14:textId="77777777" w:rsidR="00C149A1" w:rsidRPr="00C149A1" w:rsidRDefault="00C149A1" w:rsidP="00C149A1">
            <w:pPr>
              <w:jc w:val="center"/>
              <w:rPr>
                <w:rFonts w:ascii="Times New Roman" w:eastAsia="Calibri" w:hAnsi="Times New Roman" w:cs="Times New Roman"/>
                <w:b/>
                <w:sz w:val="20"/>
                <w:szCs w:val="20"/>
                <w:u w:val="single"/>
              </w:rPr>
            </w:pPr>
            <w:r w:rsidRPr="00C149A1">
              <w:rPr>
                <w:rFonts w:ascii="Times New Roman" w:eastAsia="Calibri" w:hAnsi="Times New Roman" w:cs="Times New Roman"/>
                <w:b/>
                <w:sz w:val="20"/>
                <w:szCs w:val="20"/>
                <w:u w:val="single"/>
              </w:rPr>
              <w:t>Name of Journal and Its Writer</w:t>
            </w:r>
          </w:p>
        </w:tc>
        <w:tc>
          <w:tcPr>
            <w:tcW w:w="1838" w:type="dxa"/>
            <w:tcBorders>
              <w:top w:val="single" w:sz="18" w:space="0" w:color="auto"/>
              <w:left w:val="nil"/>
              <w:bottom w:val="nil"/>
              <w:right w:val="nil"/>
            </w:tcBorders>
          </w:tcPr>
          <w:p w14:paraId="68F3E90C" w14:textId="77777777" w:rsidR="00C149A1" w:rsidRPr="00C149A1" w:rsidRDefault="00C149A1" w:rsidP="00C149A1">
            <w:pPr>
              <w:jc w:val="center"/>
              <w:rPr>
                <w:rFonts w:ascii="Times New Roman" w:eastAsia="Calibri" w:hAnsi="Times New Roman" w:cs="Times New Roman"/>
                <w:b/>
                <w:sz w:val="20"/>
                <w:szCs w:val="20"/>
              </w:rPr>
            </w:pPr>
          </w:p>
        </w:tc>
        <w:tc>
          <w:tcPr>
            <w:tcW w:w="2558" w:type="dxa"/>
            <w:tcBorders>
              <w:top w:val="single" w:sz="18" w:space="0" w:color="auto"/>
              <w:left w:val="nil"/>
              <w:bottom w:val="nil"/>
              <w:right w:val="nil"/>
            </w:tcBorders>
          </w:tcPr>
          <w:p w14:paraId="70404E91" w14:textId="77777777" w:rsidR="00C149A1" w:rsidRPr="00C149A1" w:rsidRDefault="00C149A1" w:rsidP="00C149A1">
            <w:pPr>
              <w:jc w:val="right"/>
              <w:rPr>
                <w:rFonts w:ascii="Times New Roman" w:eastAsia="Calibri" w:hAnsi="Times New Roman" w:cs="Times New Roman"/>
                <w:b/>
                <w:sz w:val="20"/>
                <w:szCs w:val="20"/>
                <w:u w:val="single"/>
              </w:rPr>
            </w:pPr>
            <w:r w:rsidRPr="00C149A1">
              <w:rPr>
                <w:rFonts w:ascii="Times New Roman" w:eastAsia="Calibri" w:hAnsi="Times New Roman" w:cs="Times New Roman"/>
                <w:b/>
                <w:sz w:val="20"/>
                <w:szCs w:val="20"/>
                <w:u w:val="single"/>
              </w:rPr>
              <w:t>Modality Value</w:t>
            </w:r>
          </w:p>
        </w:tc>
        <w:tc>
          <w:tcPr>
            <w:tcW w:w="3679" w:type="dxa"/>
            <w:tcBorders>
              <w:top w:val="single" w:sz="18" w:space="0" w:color="auto"/>
              <w:left w:val="nil"/>
              <w:bottom w:val="nil"/>
              <w:right w:val="nil"/>
            </w:tcBorders>
          </w:tcPr>
          <w:p w14:paraId="6E130F61" w14:textId="77777777" w:rsidR="00C149A1" w:rsidRPr="00C149A1" w:rsidRDefault="00C149A1" w:rsidP="00C149A1">
            <w:pPr>
              <w:jc w:val="center"/>
              <w:rPr>
                <w:rFonts w:ascii="Times New Roman" w:eastAsia="Calibri" w:hAnsi="Times New Roman" w:cs="Times New Roman"/>
                <w:b/>
                <w:sz w:val="20"/>
                <w:szCs w:val="20"/>
              </w:rPr>
            </w:pPr>
          </w:p>
        </w:tc>
      </w:tr>
      <w:tr w:rsidR="00C149A1" w:rsidRPr="00C149A1" w14:paraId="2A1856D5" w14:textId="77777777" w:rsidTr="00191DDD">
        <w:tc>
          <w:tcPr>
            <w:tcW w:w="541" w:type="dxa"/>
            <w:tcBorders>
              <w:top w:val="nil"/>
              <w:left w:val="nil"/>
              <w:bottom w:val="nil"/>
              <w:right w:val="nil"/>
            </w:tcBorders>
          </w:tcPr>
          <w:p w14:paraId="35A484AB" w14:textId="77777777" w:rsidR="00C149A1" w:rsidRPr="00C149A1" w:rsidRDefault="00C149A1" w:rsidP="00C149A1">
            <w:pPr>
              <w:rPr>
                <w:rFonts w:ascii="Times New Roman" w:eastAsia="Calibri" w:hAnsi="Times New Roman" w:cs="Times New Roman"/>
                <w:sz w:val="20"/>
                <w:szCs w:val="20"/>
              </w:rPr>
            </w:pPr>
          </w:p>
        </w:tc>
        <w:tc>
          <w:tcPr>
            <w:tcW w:w="1732" w:type="dxa"/>
            <w:tcBorders>
              <w:top w:val="nil"/>
              <w:left w:val="nil"/>
              <w:bottom w:val="nil"/>
              <w:right w:val="nil"/>
            </w:tcBorders>
          </w:tcPr>
          <w:p w14:paraId="03825DC8" w14:textId="77777777" w:rsidR="00C149A1" w:rsidRPr="00C149A1" w:rsidRDefault="00C149A1" w:rsidP="00C149A1">
            <w:pPr>
              <w:rPr>
                <w:rFonts w:ascii="Times New Roman" w:eastAsia="Calibri" w:hAnsi="Times New Roman" w:cs="Times New Roman"/>
                <w:sz w:val="20"/>
                <w:szCs w:val="20"/>
              </w:rPr>
            </w:pPr>
          </w:p>
        </w:tc>
        <w:tc>
          <w:tcPr>
            <w:tcW w:w="1838" w:type="dxa"/>
            <w:tcBorders>
              <w:top w:val="nil"/>
              <w:left w:val="nil"/>
              <w:bottom w:val="nil"/>
              <w:right w:val="nil"/>
            </w:tcBorders>
          </w:tcPr>
          <w:p w14:paraId="3B5463F9" w14:textId="77777777" w:rsidR="00C149A1" w:rsidRPr="00C149A1" w:rsidRDefault="00C149A1" w:rsidP="00C149A1">
            <w:pPr>
              <w:jc w:val="center"/>
              <w:rPr>
                <w:rFonts w:ascii="Times New Roman" w:eastAsia="Calibri" w:hAnsi="Times New Roman" w:cs="Times New Roman"/>
                <w:b/>
                <w:sz w:val="20"/>
                <w:szCs w:val="20"/>
                <w:u w:val="single"/>
              </w:rPr>
            </w:pPr>
            <w:r w:rsidRPr="00C149A1">
              <w:rPr>
                <w:rFonts w:ascii="Times New Roman" w:eastAsia="Calibri" w:hAnsi="Times New Roman" w:cs="Times New Roman"/>
                <w:b/>
                <w:sz w:val="20"/>
                <w:szCs w:val="20"/>
                <w:u w:val="single"/>
              </w:rPr>
              <w:t>High</w:t>
            </w:r>
          </w:p>
        </w:tc>
        <w:tc>
          <w:tcPr>
            <w:tcW w:w="2558" w:type="dxa"/>
            <w:tcBorders>
              <w:top w:val="nil"/>
              <w:left w:val="nil"/>
              <w:bottom w:val="nil"/>
              <w:right w:val="nil"/>
            </w:tcBorders>
          </w:tcPr>
          <w:p w14:paraId="2F8C28A4" w14:textId="77777777" w:rsidR="00C149A1" w:rsidRPr="00C149A1" w:rsidRDefault="00C149A1" w:rsidP="00C149A1">
            <w:pPr>
              <w:jc w:val="center"/>
              <w:rPr>
                <w:rFonts w:ascii="Times New Roman" w:eastAsia="Calibri" w:hAnsi="Times New Roman" w:cs="Times New Roman"/>
                <w:b/>
                <w:sz w:val="20"/>
                <w:szCs w:val="20"/>
                <w:u w:val="single"/>
              </w:rPr>
            </w:pPr>
            <w:r w:rsidRPr="00C149A1">
              <w:rPr>
                <w:rFonts w:ascii="Times New Roman" w:eastAsia="Calibri" w:hAnsi="Times New Roman" w:cs="Times New Roman"/>
                <w:b/>
                <w:sz w:val="20"/>
                <w:szCs w:val="20"/>
                <w:u w:val="single"/>
              </w:rPr>
              <w:t>Middle</w:t>
            </w:r>
          </w:p>
        </w:tc>
        <w:tc>
          <w:tcPr>
            <w:tcW w:w="3679" w:type="dxa"/>
            <w:tcBorders>
              <w:top w:val="nil"/>
              <w:left w:val="nil"/>
              <w:bottom w:val="nil"/>
              <w:right w:val="nil"/>
            </w:tcBorders>
          </w:tcPr>
          <w:p w14:paraId="2EFFE59C" w14:textId="77777777" w:rsidR="00C149A1" w:rsidRPr="00C149A1" w:rsidRDefault="00C149A1" w:rsidP="00C149A1">
            <w:pPr>
              <w:jc w:val="center"/>
              <w:rPr>
                <w:rFonts w:ascii="Times New Roman" w:eastAsia="Calibri" w:hAnsi="Times New Roman" w:cs="Times New Roman"/>
                <w:b/>
                <w:sz w:val="20"/>
                <w:szCs w:val="20"/>
                <w:u w:val="single"/>
              </w:rPr>
            </w:pPr>
            <w:r w:rsidRPr="00C149A1">
              <w:rPr>
                <w:rFonts w:ascii="Times New Roman" w:eastAsia="Calibri" w:hAnsi="Times New Roman" w:cs="Times New Roman"/>
                <w:b/>
                <w:sz w:val="20"/>
                <w:szCs w:val="20"/>
                <w:u w:val="single"/>
              </w:rPr>
              <w:t>Low</w:t>
            </w:r>
          </w:p>
        </w:tc>
      </w:tr>
      <w:tr w:rsidR="00C149A1" w:rsidRPr="00C149A1" w14:paraId="6AB68995" w14:textId="77777777" w:rsidTr="00191DDD">
        <w:tc>
          <w:tcPr>
            <w:tcW w:w="541" w:type="dxa"/>
            <w:tcBorders>
              <w:top w:val="nil"/>
              <w:left w:val="nil"/>
              <w:bottom w:val="single" w:sz="18" w:space="0" w:color="auto"/>
              <w:right w:val="nil"/>
            </w:tcBorders>
          </w:tcPr>
          <w:p w14:paraId="02C7F5F6" w14:textId="77777777" w:rsidR="00C149A1" w:rsidRPr="00C149A1" w:rsidRDefault="00C149A1" w:rsidP="00C149A1">
            <w:pPr>
              <w:rPr>
                <w:rFonts w:ascii="Times New Roman" w:eastAsia="Calibri" w:hAnsi="Times New Roman" w:cs="Times New Roman"/>
                <w:sz w:val="20"/>
                <w:szCs w:val="20"/>
              </w:rPr>
            </w:pPr>
          </w:p>
        </w:tc>
        <w:tc>
          <w:tcPr>
            <w:tcW w:w="1732" w:type="dxa"/>
            <w:tcBorders>
              <w:top w:val="nil"/>
              <w:left w:val="nil"/>
              <w:bottom w:val="single" w:sz="18" w:space="0" w:color="auto"/>
              <w:right w:val="nil"/>
            </w:tcBorders>
          </w:tcPr>
          <w:p w14:paraId="4C3383E8" w14:textId="77777777" w:rsidR="00C149A1" w:rsidRPr="00C149A1" w:rsidRDefault="00C149A1" w:rsidP="00C149A1">
            <w:pPr>
              <w:rPr>
                <w:rFonts w:ascii="Times New Roman" w:eastAsia="Calibri" w:hAnsi="Times New Roman" w:cs="Times New Roman"/>
                <w:sz w:val="20"/>
                <w:szCs w:val="20"/>
              </w:rPr>
            </w:pPr>
          </w:p>
        </w:tc>
        <w:tc>
          <w:tcPr>
            <w:tcW w:w="1838" w:type="dxa"/>
            <w:tcBorders>
              <w:top w:val="nil"/>
              <w:left w:val="nil"/>
              <w:bottom w:val="single" w:sz="18" w:space="0" w:color="auto"/>
              <w:right w:val="nil"/>
            </w:tcBorders>
          </w:tcPr>
          <w:p w14:paraId="6F583532" w14:textId="77777777" w:rsidR="00C149A1" w:rsidRPr="00C149A1" w:rsidRDefault="00C149A1" w:rsidP="00C149A1">
            <w:pPr>
              <w:rPr>
                <w:rFonts w:ascii="Times New Roman" w:eastAsia="Calibri" w:hAnsi="Times New Roman" w:cs="Times New Roman"/>
                <w:sz w:val="20"/>
                <w:szCs w:val="20"/>
              </w:rPr>
            </w:pPr>
          </w:p>
        </w:tc>
        <w:tc>
          <w:tcPr>
            <w:tcW w:w="2558" w:type="dxa"/>
            <w:tcBorders>
              <w:top w:val="nil"/>
              <w:left w:val="nil"/>
              <w:bottom w:val="single" w:sz="18" w:space="0" w:color="auto"/>
              <w:right w:val="nil"/>
            </w:tcBorders>
          </w:tcPr>
          <w:p w14:paraId="25FDAECF" w14:textId="77777777" w:rsidR="00C149A1" w:rsidRPr="00C149A1" w:rsidRDefault="00C149A1" w:rsidP="00C149A1">
            <w:pPr>
              <w:rPr>
                <w:rFonts w:ascii="Times New Roman" w:eastAsia="Calibri" w:hAnsi="Times New Roman" w:cs="Times New Roman"/>
                <w:sz w:val="20"/>
                <w:szCs w:val="20"/>
              </w:rPr>
            </w:pPr>
          </w:p>
        </w:tc>
        <w:tc>
          <w:tcPr>
            <w:tcW w:w="3679" w:type="dxa"/>
            <w:tcBorders>
              <w:top w:val="nil"/>
              <w:left w:val="nil"/>
              <w:bottom w:val="single" w:sz="18" w:space="0" w:color="auto"/>
              <w:right w:val="nil"/>
            </w:tcBorders>
          </w:tcPr>
          <w:p w14:paraId="1028078E" w14:textId="77777777" w:rsidR="00C149A1" w:rsidRPr="00C149A1" w:rsidRDefault="00C149A1" w:rsidP="00C149A1">
            <w:pPr>
              <w:rPr>
                <w:rFonts w:ascii="Times New Roman" w:eastAsia="Calibri" w:hAnsi="Times New Roman" w:cs="Times New Roman"/>
                <w:sz w:val="20"/>
                <w:szCs w:val="20"/>
              </w:rPr>
            </w:pPr>
          </w:p>
        </w:tc>
      </w:tr>
      <w:tr w:rsidR="00C149A1" w:rsidRPr="00C149A1" w14:paraId="7E4BBE7F" w14:textId="77777777" w:rsidTr="00191DDD">
        <w:tc>
          <w:tcPr>
            <w:tcW w:w="541" w:type="dxa"/>
            <w:tcBorders>
              <w:top w:val="single" w:sz="18" w:space="0" w:color="auto"/>
              <w:left w:val="nil"/>
              <w:bottom w:val="nil"/>
              <w:right w:val="nil"/>
            </w:tcBorders>
          </w:tcPr>
          <w:p w14:paraId="77C8FF67" w14:textId="77777777" w:rsidR="00C149A1" w:rsidRPr="00C149A1" w:rsidRDefault="00C149A1" w:rsidP="00C149A1">
            <w:pPr>
              <w:rPr>
                <w:rFonts w:ascii="Times New Roman" w:eastAsia="Calibri" w:hAnsi="Times New Roman" w:cs="Times New Roman"/>
                <w:sz w:val="20"/>
                <w:szCs w:val="20"/>
              </w:rPr>
            </w:pPr>
            <w:r w:rsidRPr="00C149A1">
              <w:rPr>
                <w:rFonts w:ascii="Times New Roman" w:eastAsia="Calibri" w:hAnsi="Times New Roman" w:cs="Times New Roman"/>
                <w:sz w:val="20"/>
                <w:szCs w:val="20"/>
              </w:rPr>
              <w:t>1.</w:t>
            </w:r>
          </w:p>
        </w:tc>
        <w:tc>
          <w:tcPr>
            <w:tcW w:w="1732" w:type="dxa"/>
            <w:tcBorders>
              <w:top w:val="single" w:sz="18" w:space="0" w:color="auto"/>
              <w:left w:val="nil"/>
              <w:bottom w:val="nil"/>
              <w:right w:val="nil"/>
            </w:tcBorders>
          </w:tcPr>
          <w:p w14:paraId="74FB104B" w14:textId="77777777" w:rsidR="00C149A1" w:rsidRPr="00C149A1" w:rsidRDefault="00C149A1" w:rsidP="00C149A1">
            <w:pPr>
              <w:jc w:val="center"/>
              <w:rPr>
                <w:rFonts w:ascii="Times New Roman" w:eastAsia="Calibri" w:hAnsi="Times New Roman" w:cs="Times New Roman"/>
                <w:sz w:val="20"/>
                <w:szCs w:val="20"/>
              </w:rPr>
            </w:pPr>
            <w:r w:rsidRPr="00C149A1">
              <w:rPr>
                <w:rFonts w:ascii="Times New Roman" w:eastAsia="Calibri" w:hAnsi="Times New Roman" w:cs="Times New Roman"/>
                <w:sz w:val="20"/>
                <w:szCs w:val="20"/>
              </w:rPr>
              <w:t>Journal of Memory and Language (JML) (Robey, 2019)</w:t>
            </w:r>
          </w:p>
        </w:tc>
        <w:tc>
          <w:tcPr>
            <w:tcW w:w="1838" w:type="dxa"/>
            <w:tcBorders>
              <w:top w:val="single" w:sz="18" w:space="0" w:color="auto"/>
              <w:left w:val="nil"/>
              <w:bottom w:val="nil"/>
              <w:right w:val="nil"/>
            </w:tcBorders>
          </w:tcPr>
          <w:p w14:paraId="5EAD1371" w14:textId="77777777" w:rsidR="00C149A1" w:rsidRPr="00C149A1" w:rsidRDefault="00C149A1" w:rsidP="00C149A1">
            <w:pPr>
              <w:numPr>
                <w:ilvl w:val="0"/>
                <w:numId w:val="1"/>
              </w:numPr>
              <w:contextualSpacing/>
              <w:jc w:val="center"/>
              <w:rPr>
                <w:rFonts w:ascii="Times New Roman" w:eastAsia="Calibri" w:hAnsi="Times New Roman" w:cs="Times New Roman"/>
                <w:sz w:val="20"/>
                <w:szCs w:val="20"/>
              </w:rPr>
            </w:pPr>
          </w:p>
        </w:tc>
        <w:tc>
          <w:tcPr>
            <w:tcW w:w="2558" w:type="dxa"/>
            <w:tcBorders>
              <w:top w:val="single" w:sz="18" w:space="0" w:color="auto"/>
              <w:left w:val="nil"/>
              <w:bottom w:val="nil"/>
              <w:right w:val="nil"/>
            </w:tcBorders>
          </w:tcPr>
          <w:p w14:paraId="30CFBC2E" w14:textId="77777777" w:rsidR="00C149A1" w:rsidRPr="00C149A1" w:rsidRDefault="00C149A1" w:rsidP="00C149A1">
            <w:pPr>
              <w:jc w:val="both"/>
              <w:rPr>
                <w:rFonts w:ascii="Times New Roman" w:eastAsia="Calibri" w:hAnsi="Times New Roman" w:cs="Times New Roman"/>
                <w:sz w:val="20"/>
                <w:szCs w:val="20"/>
              </w:rPr>
            </w:pPr>
            <w:r w:rsidRPr="00C149A1">
              <w:rPr>
                <w:rFonts w:ascii="Times New Roman" w:eastAsia="Calibri" w:hAnsi="Times New Roman" w:cs="Times New Roman"/>
                <w:sz w:val="20"/>
                <w:szCs w:val="20"/>
              </w:rPr>
              <w:t xml:space="preserve">Concerns regarding these differences </w:t>
            </w:r>
            <w:r w:rsidRPr="00C149A1">
              <w:rPr>
                <w:rFonts w:ascii="Times New Roman" w:eastAsia="Calibri" w:hAnsi="Times New Roman" w:cs="Times New Roman"/>
                <w:b/>
                <w:sz w:val="20"/>
                <w:szCs w:val="20"/>
              </w:rPr>
              <w:t>should</w:t>
            </w:r>
            <w:r w:rsidRPr="00C149A1">
              <w:rPr>
                <w:rFonts w:ascii="Times New Roman" w:eastAsia="Calibri" w:hAnsi="Times New Roman" w:cs="Times New Roman"/>
                <w:sz w:val="20"/>
                <w:szCs w:val="20"/>
              </w:rPr>
              <w:t xml:space="preserve"> be minimal, as Abel and Roediger (2017) have shown that the testing effect is equivalent across blocked and intermixed study designs.</w:t>
            </w:r>
          </w:p>
          <w:p w14:paraId="2C72FA4B" w14:textId="77777777" w:rsidR="00C149A1" w:rsidRPr="00C149A1" w:rsidRDefault="00C149A1" w:rsidP="00C149A1">
            <w:pPr>
              <w:jc w:val="both"/>
              <w:rPr>
                <w:rFonts w:ascii="Times New Roman" w:eastAsia="Calibri" w:hAnsi="Times New Roman" w:cs="Times New Roman"/>
                <w:sz w:val="20"/>
                <w:szCs w:val="20"/>
              </w:rPr>
            </w:pPr>
            <w:r w:rsidRPr="00C149A1">
              <w:rPr>
                <w:rFonts w:ascii="Times New Roman" w:eastAsia="Calibri" w:hAnsi="Times New Roman" w:cs="Times New Roman"/>
                <w:sz w:val="20"/>
                <w:szCs w:val="20"/>
              </w:rPr>
              <w:t xml:space="preserve">All results regarding this measure, however, </w:t>
            </w:r>
            <w:r w:rsidRPr="00C149A1">
              <w:rPr>
                <w:rFonts w:ascii="Times New Roman" w:eastAsia="Calibri" w:hAnsi="Times New Roman" w:cs="Times New Roman"/>
                <w:b/>
                <w:sz w:val="20"/>
                <w:szCs w:val="20"/>
              </w:rPr>
              <w:t>should</w:t>
            </w:r>
            <w:r w:rsidRPr="00C149A1">
              <w:rPr>
                <w:rFonts w:ascii="Times New Roman" w:eastAsia="Calibri" w:hAnsi="Times New Roman" w:cs="Times New Roman"/>
                <w:sz w:val="20"/>
                <w:szCs w:val="20"/>
              </w:rPr>
              <w:t xml:space="preserve"> be taken cautiously.</w:t>
            </w:r>
          </w:p>
          <w:p w14:paraId="51F8D0F5" w14:textId="77777777" w:rsidR="00C149A1" w:rsidRPr="00C149A1" w:rsidRDefault="00C149A1" w:rsidP="00C149A1">
            <w:pPr>
              <w:jc w:val="both"/>
              <w:rPr>
                <w:rFonts w:ascii="Times New Roman" w:eastAsia="Calibri" w:hAnsi="Times New Roman" w:cs="Times New Roman"/>
                <w:sz w:val="20"/>
                <w:szCs w:val="20"/>
              </w:rPr>
            </w:pPr>
            <w:r w:rsidRPr="00C149A1">
              <w:rPr>
                <w:rFonts w:ascii="Times New Roman" w:eastAsia="Calibri" w:hAnsi="Times New Roman" w:cs="Times New Roman"/>
                <w:sz w:val="20"/>
                <w:szCs w:val="20"/>
              </w:rPr>
              <w:t xml:space="preserve">More work is needed to determine how to best conceptualize how variability in strategy use </w:t>
            </w:r>
            <w:r w:rsidRPr="00C149A1">
              <w:rPr>
                <w:rFonts w:ascii="Times New Roman" w:eastAsia="Calibri" w:hAnsi="Times New Roman" w:cs="Times New Roman"/>
                <w:b/>
                <w:sz w:val="20"/>
                <w:szCs w:val="20"/>
              </w:rPr>
              <w:t>should</w:t>
            </w:r>
            <w:r w:rsidRPr="00C149A1">
              <w:rPr>
                <w:rFonts w:ascii="Times New Roman" w:eastAsia="Calibri" w:hAnsi="Times New Roman" w:cs="Times New Roman"/>
                <w:sz w:val="20"/>
                <w:szCs w:val="20"/>
              </w:rPr>
              <w:t xml:space="preserve"> be measured before it becomes widely used within this domain.</w:t>
            </w:r>
          </w:p>
          <w:p w14:paraId="51752C4E" w14:textId="77777777" w:rsidR="00C149A1" w:rsidRPr="00C149A1" w:rsidRDefault="00C149A1" w:rsidP="00C149A1">
            <w:pPr>
              <w:jc w:val="both"/>
              <w:rPr>
                <w:rFonts w:ascii="Times New Roman" w:eastAsia="Calibri" w:hAnsi="Times New Roman" w:cs="Times New Roman"/>
                <w:sz w:val="20"/>
                <w:szCs w:val="20"/>
              </w:rPr>
            </w:pPr>
            <w:r w:rsidRPr="00C149A1">
              <w:rPr>
                <w:rFonts w:ascii="Times New Roman" w:eastAsia="Calibri" w:hAnsi="Times New Roman" w:cs="Times New Roman"/>
                <w:sz w:val="20"/>
                <w:szCs w:val="20"/>
              </w:rPr>
              <w:t xml:space="preserve">Future research hoping to explore strategy variability using the CWS ratio </w:t>
            </w:r>
            <w:r w:rsidRPr="00C149A1">
              <w:rPr>
                <w:rFonts w:ascii="Times New Roman" w:eastAsia="Calibri" w:hAnsi="Times New Roman" w:cs="Times New Roman"/>
                <w:b/>
                <w:sz w:val="20"/>
                <w:szCs w:val="20"/>
              </w:rPr>
              <w:t>should</w:t>
            </w:r>
            <w:r w:rsidRPr="00C149A1">
              <w:rPr>
                <w:rFonts w:ascii="Times New Roman" w:eastAsia="Calibri" w:hAnsi="Times New Roman" w:cs="Times New Roman"/>
                <w:sz w:val="20"/>
                <w:szCs w:val="20"/>
              </w:rPr>
              <w:t xml:space="preserve"> explore how much exposure to a particular task is needed for strategy expertise to develop.</w:t>
            </w:r>
          </w:p>
          <w:p w14:paraId="17319C5B" w14:textId="77777777" w:rsidR="00C149A1" w:rsidRPr="00C149A1" w:rsidRDefault="00C149A1" w:rsidP="00C149A1">
            <w:pPr>
              <w:jc w:val="both"/>
              <w:rPr>
                <w:rFonts w:ascii="Times New Roman" w:eastAsia="Calibri" w:hAnsi="Times New Roman" w:cs="Times New Roman"/>
                <w:sz w:val="20"/>
                <w:szCs w:val="20"/>
              </w:rPr>
            </w:pPr>
            <w:r w:rsidRPr="00C149A1">
              <w:rPr>
                <w:rFonts w:ascii="Times New Roman" w:eastAsia="Calibri" w:hAnsi="Times New Roman" w:cs="Times New Roman"/>
                <w:sz w:val="20"/>
                <w:szCs w:val="20"/>
              </w:rPr>
              <w:t xml:space="preserve">Special note </w:t>
            </w:r>
            <w:r w:rsidRPr="00C149A1">
              <w:rPr>
                <w:rFonts w:ascii="Times New Roman" w:eastAsia="Calibri" w:hAnsi="Times New Roman" w:cs="Times New Roman"/>
                <w:b/>
                <w:sz w:val="20"/>
                <w:szCs w:val="20"/>
              </w:rPr>
              <w:t>should</w:t>
            </w:r>
            <w:r w:rsidRPr="00C149A1">
              <w:rPr>
                <w:rFonts w:ascii="Times New Roman" w:eastAsia="Calibri" w:hAnsi="Times New Roman" w:cs="Times New Roman"/>
                <w:sz w:val="20"/>
                <w:szCs w:val="20"/>
              </w:rPr>
              <w:t xml:space="preserve"> be made, however, for how this measure was constructed, as similar measures of shallow and deep strategy use from </w:t>
            </w:r>
            <w:proofErr w:type="spellStart"/>
            <w:r w:rsidRPr="00C149A1">
              <w:rPr>
                <w:rFonts w:ascii="Times New Roman" w:eastAsia="Calibri" w:hAnsi="Times New Roman" w:cs="Times New Roman"/>
                <w:sz w:val="20"/>
                <w:szCs w:val="20"/>
              </w:rPr>
              <w:t>Minear</w:t>
            </w:r>
            <w:proofErr w:type="spellEnd"/>
            <w:r w:rsidRPr="00C149A1">
              <w:rPr>
                <w:rFonts w:ascii="Times New Roman" w:eastAsia="Calibri" w:hAnsi="Times New Roman" w:cs="Times New Roman"/>
                <w:sz w:val="20"/>
                <w:szCs w:val="20"/>
              </w:rPr>
              <w:t xml:space="preserve"> et al. (2018) were not significant.</w:t>
            </w:r>
          </w:p>
          <w:p w14:paraId="654817BD" w14:textId="77777777" w:rsidR="00C149A1" w:rsidRPr="00C149A1" w:rsidRDefault="00C149A1" w:rsidP="00C149A1">
            <w:pPr>
              <w:jc w:val="both"/>
              <w:rPr>
                <w:rFonts w:ascii="Times New Roman" w:eastAsia="Calibri" w:hAnsi="Times New Roman" w:cs="Times New Roman"/>
                <w:sz w:val="20"/>
                <w:szCs w:val="20"/>
              </w:rPr>
            </w:pPr>
            <w:r w:rsidRPr="00C149A1">
              <w:rPr>
                <w:rFonts w:ascii="Times New Roman" w:eastAsia="Calibri" w:hAnsi="Times New Roman" w:cs="Times New Roman"/>
                <w:sz w:val="20"/>
                <w:szCs w:val="20"/>
              </w:rPr>
              <w:t xml:space="preserve">It </w:t>
            </w:r>
            <w:r w:rsidRPr="00C149A1">
              <w:rPr>
                <w:rFonts w:ascii="Times New Roman" w:eastAsia="Calibri" w:hAnsi="Times New Roman" w:cs="Times New Roman"/>
                <w:b/>
                <w:sz w:val="20"/>
                <w:szCs w:val="20"/>
              </w:rPr>
              <w:t>should</w:t>
            </w:r>
            <w:r w:rsidRPr="00C149A1">
              <w:rPr>
                <w:rFonts w:ascii="Times New Roman" w:eastAsia="Calibri" w:hAnsi="Times New Roman" w:cs="Times New Roman"/>
                <w:sz w:val="20"/>
                <w:szCs w:val="20"/>
              </w:rPr>
              <w:t xml:space="preserve"> be noted, however, that </w:t>
            </w:r>
            <w:proofErr w:type="spellStart"/>
            <w:r w:rsidRPr="00C149A1">
              <w:rPr>
                <w:rFonts w:ascii="Times New Roman" w:eastAsia="Calibri" w:hAnsi="Times New Roman" w:cs="Times New Roman"/>
                <w:sz w:val="20"/>
                <w:szCs w:val="20"/>
              </w:rPr>
              <w:t>Minear</w:t>
            </w:r>
            <w:proofErr w:type="spellEnd"/>
            <w:r w:rsidRPr="00C149A1">
              <w:rPr>
                <w:rFonts w:ascii="Times New Roman" w:eastAsia="Calibri" w:hAnsi="Times New Roman" w:cs="Times New Roman"/>
                <w:sz w:val="20"/>
                <w:szCs w:val="20"/>
              </w:rPr>
              <w:t xml:space="preserve"> et al. (2018) did find significant results related to shallow and deep strategy use, but only for certain items or when the testing effect was treated as a categorical rather than continuous variable.</w:t>
            </w:r>
          </w:p>
        </w:tc>
        <w:tc>
          <w:tcPr>
            <w:tcW w:w="3679" w:type="dxa"/>
            <w:tcBorders>
              <w:top w:val="single" w:sz="18" w:space="0" w:color="auto"/>
              <w:left w:val="nil"/>
              <w:bottom w:val="nil"/>
              <w:right w:val="nil"/>
            </w:tcBorders>
          </w:tcPr>
          <w:p w14:paraId="19C38ED8" w14:textId="77777777" w:rsidR="00C149A1" w:rsidRPr="00C149A1" w:rsidRDefault="00C149A1" w:rsidP="00C149A1">
            <w:pPr>
              <w:jc w:val="both"/>
              <w:rPr>
                <w:rFonts w:ascii="Times New Roman" w:eastAsia="Calibri" w:hAnsi="Times New Roman" w:cs="Times New Roman"/>
                <w:sz w:val="20"/>
                <w:szCs w:val="20"/>
              </w:rPr>
            </w:pPr>
            <w:r w:rsidRPr="00C149A1">
              <w:rPr>
                <w:rFonts w:ascii="Times New Roman" w:eastAsia="Calibri" w:hAnsi="Times New Roman" w:cs="Times New Roman"/>
                <w:sz w:val="20"/>
                <w:szCs w:val="20"/>
              </w:rPr>
              <w:t xml:space="preserve">Results regarding whether this new measure </w:t>
            </w:r>
            <w:r w:rsidRPr="00C149A1">
              <w:rPr>
                <w:rFonts w:ascii="Times New Roman" w:eastAsia="Calibri" w:hAnsi="Times New Roman" w:cs="Times New Roman"/>
                <w:b/>
                <w:sz w:val="20"/>
                <w:szCs w:val="20"/>
              </w:rPr>
              <w:t>could</w:t>
            </w:r>
            <w:r w:rsidRPr="00C149A1">
              <w:rPr>
                <w:rFonts w:ascii="Times New Roman" w:eastAsia="Calibri" w:hAnsi="Times New Roman" w:cs="Times New Roman"/>
                <w:sz w:val="20"/>
                <w:szCs w:val="20"/>
              </w:rPr>
              <w:t xml:space="preserve"> be used to predict the testing effect were largely inconclusive and SEM analyses were all non-significant.</w:t>
            </w:r>
          </w:p>
        </w:tc>
      </w:tr>
      <w:tr w:rsidR="00C149A1" w:rsidRPr="00C149A1" w14:paraId="03A8A5BF" w14:textId="77777777" w:rsidTr="00191DDD">
        <w:tc>
          <w:tcPr>
            <w:tcW w:w="541" w:type="dxa"/>
            <w:tcBorders>
              <w:top w:val="single" w:sz="18" w:space="0" w:color="auto"/>
              <w:left w:val="nil"/>
              <w:bottom w:val="single" w:sz="18" w:space="0" w:color="auto"/>
              <w:right w:val="nil"/>
            </w:tcBorders>
          </w:tcPr>
          <w:p w14:paraId="3AD7F9A9" w14:textId="77777777" w:rsidR="00C149A1" w:rsidRPr="00C149A1" w:rsidRDefault="00C149A1" w:rsidP="00C149A1">
            <w:pPr>
              <w:rPr>
                <w:rFonts w:ascii="Times New Roman" w:eastAsia="Calibri" w:hAnsi="Times New Roman" w:cs="Times New Roman"/>
                <w:sz w:val="20"/>
                <w:szCs w:val="20"/>
              </w:rPr>
            </w:pPr>
            <w:r w:rsidRPr="00C149A1">
              <w:rPr>
                <w:rFonts w:ascii="Times New Roman" w:eastAsia="Calibri" w:hAnsi="Times New Roman" w:cs="Times New Roman"/>
                <w:sz w:val="20"/>
                <w:szCs w:val="20"/>
              </w:rPr>
              <w:t>2.</w:t>
            </w:r>
          </w:p>
        </w:tc>
        <w:tc>
          <w:tcPr>
            <w:tcW w:w="1732" w:type="dxa"/>
            <w:tcBorders>
              <w:top w:val="single" w:sz="18" w:space="0" w:color="auto"/>
              <w:left w:val="nil"/>
              <w:bottom w:val="single" w:sz="18" w:space="0" w:color="auto"/>
              <w:right w:val="nil"/>
            </w:tcBorders>
          </w:tcPr>
          <w:p w14:paraId="0A91950D" w14:textId="77777777" w:rsidR="00C149A1" w:rsidRPr="00C149A1" w:rsidRDefault="00C149A1" w:rsidP="00C149A1">
            <w:pPr>
              <w:jc w:val="center"/>
              <w:rPr>
                <w:rFonts w:ascii="Times New Roman" w:eastAsia="Calibri" w:hAnsi="Times New Roman" w:cs="Times New Roman"/>
                <w:sz w:val="20"/>
                <w:szCs w:val="20"/>
              </w:rPr>
            </w:pPr>
            <w:r w:rsidRPr="00C149A1">
              <w:rPr>
                <w:rFonts w:ascii="Times New Roman" w:eastAsia="Calibri" w:hAnsi="Times New Roman" w:cs="Times New Roman"/>
                <w:sz w:val="20"/>
                <w:szCs w:val="20"/>
              </w:rPr>
              <w:t>Language, Culture and Curriculum (LCC) (Bower, 2019)</w:t>
            </w:r>
          </w:p>
        </w:tc>
        <w:tc>
          <w:tcPr>
            <w:tcW w:w="1838" w:type="dxa"/>
            <w:tcBorders>
              <w:top w:val="single" w:sz="18" w:space="0" w:color="auto"/>
              <w:left w:val="nil"/>
              <w:bottom w:val="single" w:sz="18" w:space="0" w:color="auto"/>
              <w:right w:val="nil"/>
            </w:tcBorders>
          </w:tcPr>
          <w:p w14:paraId="0E0FC03C" w14:textId="77777777" w:rsidR="00C149A1" w:rsidRPr="00C149A1" w:rsidRDefault="00C149A1" w:rsidP="00C149A1">
            <w:pPr>
              <w:numPr>
                <w:ilvl w:val="0"/>
                <w:numId w:val="1"/>
              </w:numPr>
              <w:contextualSpacing/>
              <w:jc w:val="center"/>
              <w:rPr>
                <w:rFonts w:ascii="Times New Roman" w:eastAsia="Calibri" w:hAnsi="Times New Roman" w:cs="Times New Roman"/>
                <w:sz w:val="20"/>
                <w:szCs w:val="20"/>
              </w:rPr>
            </w:pPr>
          </w:p>
        </w:tc>
        <w:tc>
          <w:tcPr>
            <w:tcW w:w="2558" w:type="dxa"/>
            <w:tcBorders>
              <w:top w:val="single" w:sz="18" w:space="0" w:color="auto"/>
              <w:left w:val="nil"/>
              <w:bottom w:val="single" w:sz="18" w:space="0" w:color="auto"/>
              <w:right w:val="nil"/>
            </w:tcBorders>
          </w:tcPr>
          <w:p w14:paraId="0D4E6D3B" w14:textId="77777777" w:rsidR="00C149A1" w:rsidRPr="00C149A1" w:rsidRDefault="00C149A1" w:rsidP="00C149A1">
            <w:pPr>
              <w:jc w:val="both"/>
              <w:rPr>
                <w:rFonts w:ascii="Times New Roman" w:eastAsia="Calibri" w:hAnsi="Times New Roman" w:cs="Times New Roman"/>
                <w:sz w:val="20"/>
                <w:szCs w:val="20"/>
              </w:rPr>
            </w:pPr>
            <w:r w:rsidRPr="00C149A1">
              <w:rPr>
                <w:rFonts w:ascii="Times New Roman" w:eastAsia="Calibri" w:hAnsi="Times New Roman" w:cs="Times New Roman"/>
                <w:sz w:val="20"/>
                <w:szCs w:val="20"/>
              </w:rPr>
              <w:t xml:space="preserve">In a national context of prevailing demotivation for language learning, senior leaders, it </w:t>
            </w:r>
            <w:r w:rsidRPr="00C149A1">
              <w:rPr>
                <w:rFonts w:ascii="Times New Roman" w:eastAsia="Calibri" w:hAnsi="Times New Roman" w:cs="Times New Roman"/>
                <w:b/>
                <w:sz w:val="20"/>
                <w:szCs w:val="20"/>
              </w:rPr>
              <w:t>would</w:t>
            </w:r>
            <w:r w:rsidRPr="00C149A1">
              <w:rPr>
                <w:rFonts w:ascii="Times New Roman" w:eastAsia="Calibri" w:hAnsi="Times New Roman" w:cs="Times New Roman"/>
                <w:sz w:val="20"/>
                <w:szCs w:val="20"/>
              </w:rPr>
              <w:t xml:space="preserve"> appear,</w:t>
            </w:r>
          </w:p>
          <w:p w14:paraId="14C12317" w14:textId="77777777" w:rsidR="00C149A1" w:rsidRPr="00C149A1" w:rsidRDefault="00C149A1" w:rsidP="00C149A1">
            <w:pPr>
              <w:jc w:val="both"/>
              <w:rPr>
                <w:rFonts w:ascii="Times New Roman" w:eastAsia="Calibri" w:hAnsi="Times New Roman" w:cs="Times New Roman"/>
                <w:sz w:val="20"/>
                <w:szCs w:val="20"/>
              </w:rPr>
            </w:pPr>
            <w:r w:rsidRPr="00C149A1">
              <w:rPr>
                <w:rFonts w:ascii="Times New Roman" w:eastAsia="Calibri" w:hAnsi="Times New Roman" w:cs="Times New Roman"/>
                <w:sz w:val="20"/>
                <w:szCs w:val="20"/>
              </w:rPr>
              <w:t xml:space="preserve">Senior leaders it </w:t>
            </w:r>
            <w:r w:rsidRPr="00C149A1">
              <w:rPr>
                <w:rFonts w:ascii="Times New Roman" w:eastAsia="Calibri" w:hAnsi="Times New Roman" w:cs="Times New Roman"/>
                <w:b/>
                <w:sz w:val="20"/>
                <w:szCs w:val="20"/>
              </w:rPr>
              <w:t>would</w:t>
            </w:r>
            <w:r w:rsidRPr="00C149A1">
              <w:rPr>
                <w:rFonts w:ascii="Times New Roman" w:eastAsia="Calibri" w:hAnsi="Times New Roman" w:cs="Times New Roman"/>
                <w:sz w:val="20"/>
                <w:szCs w:val="20"/>
              </w:rPr>
              <w:t xml:space="preserve"> seem are indeed instrumental to sustaining CLIL in an </w:t>
            </w:r>
            <w:r w:rsidRPr="00C149A1">
              <w:rPr>
                <w:rFonts w:ascii="Times New Roman" w:eastAsia="Calibri" w:hAnsi="Times New Roman" w:cs="Times New Roman"/>
                <w:sz w:val="20"/>
                <w:szCs w:val="20"/>
              </w:rPr>
              <w:lastRenderedPageBreak/>
              <w:t>innovation-limiting culture of accountability.</w:t>
            </w:r>
          </w:p>
          <w:p w14:paraId="506BD4BD" w14:textId="77777777" w:rsidR="00C149A1" w:rsidRPr="00C149A1" w:rsidRDefault="00C149A1" w:rsidP="00C149A1">
            <w:pPr>
              <w:jc w:val="both"/>
              <w:rPr>
                <w:rFonts w:ascii="Times New Roman" w:eastAsia="Calibri" w:hAnsi="Times New Roman" w:cs="Times New Roman"/>
                <w:sz w:val="20"/>
                <w:szCs w:val="20"/>
              </w:rPr>
            </w:pPr>
            <w:r w:rsidRPr="00C149A1">
              <w:rPr>
                <w:rFonts w:ascii="Times New Roman" w:eastAsia="Calibri" w:hAnsi="Times New Roman" w:cs="Times New Roman"/>
                <w:sz w:val="20"/>
                <w:szCs w:val="20"/>
              </w:rPr>
              <w:t xml:space="preserve">The next section </w:t>
            </w:r>
            <w:r w:rsidRPr="00C149A1">
              <w:rPr>
                <w:rFonts w:ascii="Times New Roman" w:eastAsia="Calibri" w:hAnsi="Times New Roman" w:cs="Times New Roman"/>
                <w:b/>
                <w:sz w:val="20"/>
                <w:szCs w:val="20"/>
              </w:rPr>
              <w:t>will</w:t>
            </w:r>
            <w:r w:rsidRPr="00C149A1">
              <w:rPr>
                <w:rFonts w:ascii="Times New Roman" w:eastAsia="Calibri" w:hAnsi="Times New Roman" w:cs="Times New Roman"/>
                <w:sz w:val="20"/>
                <w:szCs w:val="20"/>
              </w:rPr>
              <w:t xml:space="preserve"> discuss affordances and constraints arising from issues that emerged from the data.</w:t>
            </w:r>
          </w:p>
          <w:p w14:paraId="53CD3704" w14:textId="77777777" w:rsidR="00C149A1" w:rsidRPr="00C149A1" w:rsidRDefault="00C149A1" w:rsidP="00C149A1">
            <w:pPr>
              <w:jc w:val="both"/>
              <w:rPr>
                <w:rFonts w:ascii="Times New Roman" w:eastAsia="Calibri" w:hAnsi="Times New Roman" w:cs="Times New Roman"/>
                <w:sz w:val="20"/>
                <w:szCs w:val="20"/>
              </w:rPr>
            </w:pPr>
            <w:r w:rsidRPr="00C149A1">
              <w:rPr>
                <w:rFonts w:ascii="Times New Roman" w:eastAsia="Calibri" w:hAnsi="Times New Roman" w:cs="Times New Roman"/>
                <w:sz w:val="20"/>
                <w:szCs w:val="20"/>
              </w:rPr>
              <w:t xml:space="preserve">This </w:t>
            </w:r>
            <w:r w:rsidRPr="00C149A1">
              <w:rPr>
                <w:rFonts w:ascii="Times New Roman" w:eastAsia="Calibri" w:hAnsi="Times New Roman" w:cs="Times New Roman"/>
                <w:b/>
                <w:sz w:val="20"/>
                <w:szCs w:val="20"/>
              </w:rPr>
              <w:t>would</w:t>
            </w:r>
            <w:r w:rsidRPr="00C149A1">
              <w:rPr>
                <w:rFonts w:ascii="Times New Roman" w:eastAsia="Calibri" w:hAnsi="Times New Roman" w:cs="Times New Roman"/>
                <w:sz w:val="20"/>
                <w:szCs w:val="20"/>
              </w:rPr>
              <w:t xml:space="preserve"> seem to contradict concerns raised in other contexts (e.g. Bruton, 2011, 2015; Van </w:t>
            </w:r>
            <w:proofErr w:type="spellStart"/>
            <w:r w:rsidRPr="00C149A1">
              <w:rPr>
                <w:rFonts w:ascii="Times New Roman" w:eastAsia="Calibri" w:hAnsi="Times New Roman" w:cs="Times New Roman"/>
                <w:sz w:val="20"/>
                <w:szCs w:val="20"/>
              </w:rPr>
              <w:t>Mensel</w:t>
            </w:r>
            <w:proofErr w:type="spellEnd"/>
            <w:r w:rsidRPr="00C149A1">
              <w:rPr>
                <w:rFonts w:ascii="Times New Roman" w:eastAsia="Calibri" w:hAnsi="Times New Roman" w:cs="Times New Roman"/>
                <w:sz w:val="20"/>
                <w:szCs w:val="20"/>
              </w:rPr>
              <w:t xml:space="preserve"> et al., 2019)</w:t>
            </w:r>
          </w:p>
          <w:p w14:paraId="02C484ED" w14:textId="77777777" w:rsidR="00C149A1" w:rsidRPr="00C149A1" w:rsidRDefault="00C149A1" w:rsidP="00C149A1">
            <w:pPr>
              <w:jc w:val="both"/>
              <w:rPr>
                <w:rFonts w:ascii="Times New Roman" w:eastAsia="Calibri" w:hAnsi="Times New Roman" w:cs="Times New Roman"/>
                <w:sz w:val="20"/>
                <w:szCs w:val="20"/>
              </w:rPr>
            </w:pPr>
            <w:r w:rsidRPr="00C149A1">
              <w:rPr>
                <w:rFonts w:ascii="Times New Roman" w:eastAsia="Calibri" w:hAnsi="Times New Roman" w:cs="Times New Roman"/>
                <w:sz w:val="20"/>
                <w:szCs w:val="20"/>
              </w:rPr>
              <w:t xml:space="preserve">It </w:t>
            </w:r>
            <w:r w:rsidRPr="00C149A1">
              <w:rPr>
                <w:rFonts w:ascii="Times New Roman" w:eastAsia="Calibri" w:hAnsi="Times New Roman" w:cs="Times New Roman"/>
                <w:b/>
                <w:sz w:val="20"/>
                <w:szCs w:val="20"/>
              </w:rPr>
              <w:t>will</w:t>
            </w:r>
            <w:r w:rsidRPr="00C149A1">
              <w:rPr>
                <w:rFonts w:ascii="Times New Roman" w:eastAsia="Calibri" w:hAnsi="Times New Roman" w:cs="Times New Roman"/>
                <w:sz w:val="20"/>
                <w:szCs w:val="20"/>
              </w:rPr>
              <w:t xml:space="preserve"> be interesting to see whether within the macro alliances of the new self-improving school system, leaders from such innovations do cross boundaries so that cross-curricular language learning is enabled to develop across England as one curriculum initiative.</w:t>
            </w:r>
          </w:p>
          <w:p w14:paraId="482C1DDD" w14:textId="77777777" w:rsidR="00C149A1" w:rsidRPr="00C149A1" w:rsidRDefault="00C149A1" w:rsidP="00C149A1">
            <w:pPr>
              <w:jc w:val="both"/>
              <w:rPr>
                <w:rFonts w:ascii="Times New Roman" w:eastAsia="Calibri" w:hAnsi="Times New Roman" w:cs="Times New Roman"/>
                <w:sz w:val="20"/>
                <w:szCs w:val="20"/>
              </w:rPr>
            </w:pPr>
            <w:r w:rsidRPr="00C149A1">
              <w:rPr>
                <w:rFonts w:ascii="Times New Roman" w:eastAsia="Calibri" w:hAnsi="Times New Roman" w:cs="Times New Roman"/>
                <w:sz w:val="20"/>
                <w:szCs w:val="20"/>
              </w:rPr>
              <w:t xml:space="preserve">To be successful, these </w:t>
            </w:r>
            <w:proofErr w:type="spellStart"/>
            <w:r w:rsidRPr="00C149A1">
              <w:rPr>
                <w:rFonts w:ascii="Times New Roman" w:eastAsia="Calibri" w:hAnsi="Times New Roman" w:cs="Times New Roman"/>
                <w:sz w:val="20"/>
                <w:szCs w:val="20"/>
              </w:rPr>
              <w:t>programmes</w:t>
            </w:r>
            <w:proofErr w:type="spellEnd"/>
            <w:r w:rsidRPr="00C149A1">
              <w:rPr>
                <w:rFonts w:ascii="Times New Roman" w:eastAsia="Calibri" w:hAnsi="Times New Roman" w:cs="Times New Roman"/>
                <w:sz w:val="20"/>
                <w:szCs w:val="20"/>
              </w:rPr>
              <w:t xml:space="preserve"> </w:t>
            </w:r>
            <w:r w:rsidRPr="00C149A1">
              <w:rPr>
                <w:rFonts w:ascii="Times New Roman" w:eastAsia="Calibri" w:hAnsi="Times New Roman" w:cs="Times New Roman"/>
                <w:b/>
                <w:sz w:val="20"/>
                <w:szCs w:val="20"/>
              </w:rPr>
              <w:t>would</w:t>
            </w:r>
            <w:r w:rsidRPr="00C149A1">
              <w:rPr>
                <w:rFonts w:ascii="Times New Roman" w:eastAsia="Calibri" w:hAnsi="Times New Roman" w:cs="Times New Roman"/>
                <w:sz w:val="20"/>
                <w:szCs w:val="20"/>
              </w:rPr>
              <w:t xml:space="preserve"> need to be supported by colleagues with a cogent grasp of the pedagogical theory: understanding why something works is critical if it is to be further developed effectively both in-house and across institutional boundaries.</w:t>
            </w:r>
          </w:p>
          <w:p w14:paraId="5F826FBE" w14:textId="77777777" w:rsidR="00C149A1" w:rsidRPr="00C149A1" w:rsidRDefault="00C149A1" w:rsidP="00C149A1">
            <w:pPr>
              <w:jc w:val="both"/>
              <w:rPr>
                <w:rFonts w:ascii="Times New Roman" w:eastAsia="Calibri" w:hAnsi="Times New Roman" w:cs="Times New Roman"/>
                <w:sz w:val="20"/>
                <w:szCs w:val="20"/>
              </w:rPr>
            </w:pPr>
            <w:r w:rsidRPr="00C149A1">
              <w:rPr>
                <w:rFonts w:ascii="Times New Roman" w:eastAsia="Calibri" w:hAnsi="Times New Roman" w:cs="Times New Roman"/>
                <w:sz w:val="20"/>
                <w:szCs w:val="20"/>
              </w:rPr>
              <w:t xml:space="preserve">It </w:t>
            </w:r>
            <w:r w:rsidRPr="00C149A1">
              <w:rPr>
                <w:rFonts w:ascii="Times New Roman" w:eastAsia="Calibri" w:hAnsi="Times New Roman" w:cs="Times New Roman"/>
                <w:b/>
                <w:sz w:val="20"/>
                <w:szCs w:val="20"/>
              </w:rPr>
              <w:t>would</w:t>
            </w:r>
            <w:r w:rsidRPr="00C149A1">
              <w:rPr>
                <w:rFonts w:ascii="Times New Roman" w:eastAsia="Calibri" w:hAnsi="Times New Roman" w:cs="Times New Roman"/>
                <w:sz w:val="20"/>
                <w:szCs w:val="20"/>
              </w:rPr>
              <w:t xml:space="preserve"> be particularly interesting to further investigate CLIL contexts in which motivation to learn a language is traditionally problematic, e.g. Anglophone-dominant contexts, particularly those with compulsory models.</w:t>
            </w:r>
          </w:p>
        </w:tc>
        <w:tc>
          <w:tcPr>
            <w:tcW w:w="3679" w:type="dxa"/>
            <w:tcBorders>
              <w:top w:val="single" w:sz="18" w:space="0" w:color="auto"/>
              <w:left w:val="nil"/>
              <w:bottom w:val="single" w:sz="18" w:space="0" w:color="auto"/>
              <w:right w:val="nil"/>
            </w:tcBorders>
          </w:tcPr>
          <w:p w14:paraId="2A05AF4E" w14:textId="77777777" w:rsidR="00C149A1" w:rsidRPr="00C149A1" w:rsidRDefault="00C149A1" w:rsidP="00C149A1">
            <w:pPr>
              <w:jc w:val="both"/>
              <w:rPr>
                <w:rFonts w:ascii="Times New Roman" w:eastAsia="Calibri" w:hAnsi="Times New Roman" w:cs="Times New Roman"/>
                <w:sz w:val="20"/>
                <w:szCs w:val="20"/>
              </w:rPr>
            </w:pPr>
            <w:r w:rsidRPr="00C149A1">
              <w:rPr>
                <w:rFonts w:ascii="Times New Roman" w:eastAsia="Calibri" w:hAnsi="Times New Roman" w:cs="Times New Roman"/>
                <w:sz w:val="20"/>
                <w:szCs w:val="20"/>
              </w:rPr>
              <w:lastRenderedPageBreak/>
              <w:t xml:space="preserve">…view their CLIL </w:t>
            </w:r>
            <w:proofErr w:type="spellStart"/>
            <w:r w:rsidRPr="00C149A1">
              <w:rPr>
                <w:rFonts w:ascii="Times New Roman" w:eastAsia="Calibri" w:hAnsi="Times New Roman" w:cs="Times New Roman"/>
                <w:sz w:val="20"/>
                <w:szCs w:val="20"/>
              </w:rPr>
              <w:t>programme</w:t>
            </w:r>
            <w:proofErr w:type="spellEnd"/>
            <w:r w:rsidRPr="00C149A1">
              <w:rPr>
                <w:rFonts w:ascii="Times New Roman" w:eastAsia="Calibri" w:hAnsi="Times New Roman" w:cs="Times New Roman"/>
                <w:sz w:val="20"/>
                <w:szCs w:val="20"/>
              </w:rPr>
              <w:t xml:space="preserve"> as part of the solution to the raising attainment agenda whilst acknowledging some of the challenges that introducing CLIL </w:t>
            </w:r>
            <w:r w:rsidRPr="00C149A1">
              <w:rPr>
                <w:rFonts w:ascii="Times New Roman" w:eastAsia="Calibri" w:hAnsi="Times New Roman" w:cs="Times New Roman"/>
                <w:b/>
                <w:sz w:val="20"/>
                <w:szCs w:val="20"/>
              </w:rPr>
              <w:t>can</w:t>
            </w:r>
            <w:r w:rsidRPr="00C149A1">
              <w:rPr>
                <w:rFonts w:ascii="Times New Roman" w:eastAsia="Calibri" w:hAnsi="Times New Roman" w:cs="Times New Roman"/>
                <w:sz w:val="20"/>
                <w:szCs w:val="20"/>
              </w:rPr>
              <w:t xml:space="preserve"> create.</w:t>
            </w:r>
          </w:p>
          <w:p w14:paraId="372310AA" w14:textId="77777777" w:rsidR="00C149A1" w:rsidRPr="00C149A1" w:rsidRDefault="00C149A1" w:rsidP="00C149A1">
            <w:pPr>
              <w:jc w:val="both"/>
              <w:rPr>
                <w:rFonts w:ascii="Times New Roman" w:eastAsia="Calibri" w:hAnsi="Times New Roman" w:cs="Times New Roman"/>
                <w:sz w:val="20"/>
                <w:szCs w:val="20"/>
              </w:rPr>
            </w:pPr>
            <w:r w:rsidRPr="00C149A1">
              <w:rPr>
                <w:rFonts w:ascii="Times New Roman" w:eastAsia="Calibri" w:hAnsi="Times New Roman" w:cs="Times New Roman"/>
                <w:sz w:val="20"/>
                <w:szCs w:val="20"/>
              </w:rPr>
              <w:t xml:space="preserve">It </w:t>
            </w:r>
            <w:r w:rsidRPr="00C149A1">
              <w:rPr>
                <w:rFonts w:ascii="Times New Roman" w:eastAsia="Calibri" w:hAnsi="Times New Roman" w:cs="Times New Roman"/>
                <w:b/>
                <w:sz w:val="20"/>
                <w:szCs w:val="20"/>
              </w:rPr>
              <w:t>may</w:t>
            </w:r>
            <w:r w:rsidRPr="00C149A1">
              <w:rPr>
                <w:rFonts w:ascii="Times New Roman" w:eastAsia="Calibri" w:hAnsi="Times New Roman" w:cs="Times New Roman"/>
                <w:sz w:val="20"/>
                <w:szCs w:val="20"/>
              </w:rPr>
              <w:t xml:space="preserve"> originate in strategic goals (exam success) as well as societal goals but it </w:t>
            </w:r>
            <w:r w:rsidRPr="00C149A1">
              <w:rPr>
                <w:rFonts w:ascii="Times New Roman" w:eastAsia="Calibri" w:hAnsi="Times New Roman" w:cs="Times New Roman"/>
                <w:sz w:val="20"/>
                <w:szCs w:val="20"/>
              </w:rPr>
              <w:lastRenderedPageBreak/>
              <w:t>appears to be sustained by the perceived pedagogical benefits to learners generated by learning in this way.</w:t>
            </w:r>
          </w:p>
          <w:p w14:paraId="57430E9E" w14:textId="77777777" w:rsidR="00C149A1" w:rsidRPr="00C149A1" w:rsidRDefault="00C149A1" w:rsidP="00C149A1">
            <w:pPr>
              <w:jc w:val="both"/>
              <w:rPr>
                <w:rFonts w:ascii="Times New Roman" w:eastAsia="Calibri" w:hAnsi="Times New Roman" w:cs="Times New Roman"/>
                <w:sz w:val="20"/>
                <w:szCs w:val="20"/>
              </w:rPr>
            </w:pPr>
            <w:r w:rsidRPr="00C149A1">
              <w:rPr>
                <w:rFonts w:ascii="Times New Roman" w:eastAsia="Calibri" w:hAnsi="Times New Roman" w:cs="Times New Roman"/>
                <w:sz w:val="20"/>
                <w:szCs w:val="20"/>
              </w:rPr>
              <w:t xml:space="preserve">At the meso level, leadership was well established in each context. It is interesting that head teachers and a senior leader in each context understood the impact on school improvement that CLIL was making, or </w:t>
            </w:r>
            <w:r w:rsidRPr="00C149A1">
              <w:rPr>
                <w:rFonts w:ascii="Times New Roman" w:eastAsia="Calibri" w:hAnsi="Times New Roman" w:cs="Times New Roman"/>
                <w:b/>
                <w:sz w:val="20"/>
                <w:szCs w:val="20"/>
              </w:rPr>
              <w:t>could</w:t>
            </w:r>
            <w:r w:rsidRPr="00C149A1">
              <w:rPr>
                <w:rFonts w:ascii="Times New Roman" w:eastAsia="Calibri" w:hAnsi="Times New Roman" w:cs="Times New Roman"/>
                <w:sz w:val="20"/>
                <w:szCs w:val="20"/>
              </w:rPr>
              <w:t xml:space="preserve"> make (Cedar School), and fully supported the </w:t>
            </w:r>
            <w:proofErr w:type="spellStart"/>
            <w:r w:rsidRPr="00C149A1">
              <w:rPr>
                <w:rFonts w:ascii="Times New Roman" w:eastAsia="Calibri" w:hAnsi="Times New Roman" w:cs="Times New Roman"/>
                <w:sz w:val="20"/>
                <w:szCs w:val="20"/>
              </w:rPr>
              <w:t>programme</w:t>
            </w:r>
            <w:proofErr w:type="spellEnd"/>
            <w:r w:rsidRPr="00C149A1">
              <w:rPr>
                <w:rFonts w:ascii="Times New Roman" w:eastAsia="Calibri" w:hAnsi="Times New Roman" w:cs="Times New Roman"/>
                <w:sz w:val="20"/>
                <w:szCs w:val="20"/>
              </w:rPr>
              <w:t>.</w:t>
            </w:r>
          </w:p>
          <w:p w14:paraId="42949A77" w14:textId="77777777" w:rsidR="00C149A1" w:rsidRPr="00C149A1" w:rsidRDefault="00C149A1" w:rsidP="00C149A1">
            <w:pPr>
              <w:jc w:val="both"/>
              <w:rPr>
                <w:rFonts w:ascii="Times New Roman" w:eastAsia="Calibri" w:hAnsi="Times New Roman" w:cs="Times New Roman"/>
                <w:sz w:val="20"/>
                <w:szCs w:val="20"/>
              </w:rPr>
            </w:pPr>
            <w:r w:rsidRPr="00C149A1">
              <w:rPr>
                <w:rFonts w:ascii="Times New Roman" w:eastAsia="Calibri" w:hAnsi="Times New Roman" w:cs="Times New Roman"/>
                <w:sz w:val="20"/>
                <w:szCs w:val="20"/>
              </w:rPr>
              <w:t xml:space="preserve">Without this support it </w:t>
            </w:r>
            <w:r w:rsidRPr="00C149A1">
              <w:rPr>
                <w:rFonts w:ascii="Times New Roman" w:eastAsia="Calibri" w:hAnsi="Times New Roman" w:cs="Times New Roman"/>
                <w:b/>
                <w:sz w:val="20"/>
                <w:szCs w:val="20"/>
              </w:rPr>
              <w:t>may</w:t>
            </w:r>
            <w:r w:rsidRPr="00C149A1">
              <w:rPr>
                <w:rFonts w:ascii="Times New Roman" w:eastAsia="Calibri" w:hAnsi="Times New Roman" w:cs="Times New Roman"/>
                <w:sz w:val="20"/>
                <w:szCs w:val="20"/>
              </w:rPr>
              <w:t xml:space="preserve"> not be possible to implement and to sustain innovations in the face of pressures such accountability measures, the narrow curriculum, initial resistance from staff, pupils or even parents.</w:t>
            </w:r>
          </w:p>
          <w:p w14:paraId="59F6A39E" w14:textId="77777777" w:rsidR="00C149A1" w:rsidRPr="00C149A1" w:rsidRDefault="00C149A1" w:rsidP="00C149A1">
            <w:pPr>
              <w:jc w:val="both"/>
              <w:rPr>
                <w:rFonts w:ascii="Times New Roman" w:eastAsia="Calibri" w:hAnsi="Times New Roman" w:cs="Times New Roman"/>
                <w:sz w:val="20"/>
                <w:szCs w:val="20"/>
              </w:rPr>
            </w:pPr>
            <w:r w:rsidRPr="00C149A1">
              <w:rPr>
                <w:rFonts w:ascii="Times New Roman" w:eastAsia="Calibri" w:hAnsi="Times New Roman" w:cs="Times New Roman"/>
                <w:sz w:val="20"/>
                <w:szCs w:val="20"/>
              </w:rPr>
              <w:t xml:space="preserve">that selection </w:t>
            </w:r>
            <w:r w:rsidRPr="00C149A1">
              <w:rPr>
                <w:rFonts w:ascii="Times New Roman" w:eastAsia="Calibri" w:hAnsi="Times New Roman" w:cs="Times New Roman"/>
                <w:b/>
                <w:sz w:val="20"/>
                <w:szCs w:val="20"/>
              </w:rPr>
              <w:t>may</w:t>
            </w:r>
            <w:r w:rsidRPr="00C149A1">
              <w:rPr>
                <w:rFonts w:ascii="Times New Roman" w:eastAsia="Calibri" w:hAnsi="Times New Roman" w:cs="Times New Roman"/>
                <w:sz w:val="20"/>
                <w:szCs w:val="20"/>
              </w:rPr>
              <w:t xml:space="preserve"> play a significant role in higher outcomes. In the short term, to breach the gap in pedagogical knowledge, teacher educators may have an important role to play in introducing CLIL methodology and practice.</w:t>
            </w:r>
          </w:p>
          <w:p w14:paraId="65EFBCD0" w14:textId="77777777" w:rsidR="00C149A1" w:rsidRPr="00C149A1" w:rsidRDefault="00C149A1" w:rsidP="00C149A1">
            <w:pPr>
              <w:jc w:val="both"/>
              <w:rPr>
                <w:rFonts w:ascii="Times New Roman" w:eastAsia="Calibri" w:hAnsi="Times New Roman" w:cs="Times New Roman"/>
                <w:sz w:val="20"/>
                <w:szCs w:val="20"/>
              </w:rPr>
            </w:pPr>
            <w:r w:rsidRPr="00C149A1">
              <w:rPr>
                <w:rFonts w:ascii="Times New Roman" w:eastAsia="Calibri" w:hAnsi="Times New Roman" w:cs="Times New Roman"/>
                <w:sz w:val="20"/>
                <w:szCs w:val="20"/>
              </w:rPr>
              <w:t xml:space="preserve">Institutions within the developing self-improving system </w:t>
            </w:r>
            <w:r w:rsidRPr="00C149A1">
              <w:rPr>
                <w:rFonts w:ascii="Times New Roman" w:eastAsia="Calibri" w:hAnsi="Times New Roman" w:cs="Times New Roman"/>
                <w:b/>
                <w:sz w:val="20"/>
                <w:szCs w:val="20"/>
              </w:rPr>
              <w:t>may</w:t>
            </w:r>
            <w:r w:rsidRPr="00C149A1">
              <w:rPr>
                <w:rFonts w:ascii="Times New Roman" w:eastAsia="Calibri" w:hAnsi="Times New Roman" w:cs="Times New Roman"/>
                <w:sz w:val="20"/>
                <w:szCs w:val="20"/>
              </w:rPr>
              <w:t xml:space="preserve"> potentially draw on such resources.</w:t>
            </w:r>
          </w:p>
          <w:p w14:paraId="392B5E4A" w14:textId="77777777" w:rsidR="00C149A1" w:rsidRPr="00C149A1" w:rsidRDefault="00C149A1" w:rsidP="00C149A1">
            <w:pPr>
              <w:jc w:val="both"/>
              <w:rPr>
                <w:rFonts w:ascii="Times New Roman" w:eastAsia="Calibri" w:hAnsi="Times New Roman" w:cs="Times New Roman"/>
                <w:sz w:val="20"/>
                <w:szCs w:val="20"/>
              </w:rPr>
            </w:pPr>
            <w:r w:rsidRPr="00C149A1">
              <w:rPr>
                <w:rFonts w:ascii="Times New Roman" w:eastAsia="Calibri" w:hAnsi="Times New Roman" w:cs="Times New Roman"/>
                <w:sz w:val="20"/>
                <w:szCs w:val="20"/>
              </w:rPr>
              <w:t xml:space="preserve">Interestingly, interviewees were confident of CLIL’s positive impact on learner progress, without apparently fully understanding how and why this </w:t>
            </w:r>
            <w:r w:rsidRPr="00C149A1">
              <w:rPr>
                <w:rFonts w:ascii="Times New Roman" w:eastAsia="Calibri" w:hAnsi="Times New Roman" w:cs="Times New Roman"/>
                <w:b/>
                <w:sz w:val="20"/>
                <w:szCs w:val="20"/>
              </w:rPr>
              <w:t>might</w:t>
            </w:r>
            <w:r w:rsidRPr="00C149A1">
              <w:rPr>
                <w:rFonts w:ascii="Times New Roman" w:eastAsia="Calibri" w:hAnsi="Times New Roman" w:cs="Times New Roman"/>
                <w:sz w:val="20"/>
                <w:szCs w:val="20"/>
              </w:rPr>
              <w:t xml:space="preserve"> be achieved.</w:t>
            </w:r>
          </w:p>
          <w:p w14:paraId="4FCD17D8" w14:textId="77777777" w:rsidR="00C149A1" w:rsidRPr="00C149A1" w:rsidRDefault="00C149A1" w:rsidP="00C149A1">
            <w:pPr>
              <w:jc w:val="both"/>
              <w:rPr>
                <w:rFonts w:ascii="Times New Roman" w:eastAsia="Calibri" w:hAnsi="Times New Roman" w:cs="Times New Roman"/>
                <w:sz w:val="20"/>
                <w:szCs w:val="20"/>
              </w:rPr>
            </w:pPr>
            <w:r w:rsidRPr="00C149A1">
              <w:rPr>
                <w:rFonts w:ascii="Times New Roman" w:eastAsia="Calibri" w:hAnsi="Times New Roman" w:cs="Times New Roman"/>
                <w:sz w:val="20"/>
                <w:szCs w:val="20"/>
              </w:rPr>
              <w:t xml:space="preserve">Perhaps this lack of pedagogical understanding in leaders </w:t>
            </w:r>
            <w:r w:rsidRPr="00C149A1">
              <w:rPr>
                <w:rFonts w:ascii="Times New Roman" w:eastAsia="Calibri" w:hAnsi="Times New Roman" w:cs="Times New Roman"/>
                <w:b/>
                <w:sz w:val="20"/>
                <w:szCs w:val="20"/>
              </w:rPr>
              <w:t>may</w:t>
            </w:r>
            <w:r w:rsidRPr="00C149A1">
              <w:rPr>
                <w:rFonts w:ascii="Times New Roman" w:eastAsia="Calibri" w:hAnsi="Times New Roman" w:cs="Times New Roman"/>
                <w:sz w:val="20"/>
                <w:szCs w:val="20"/>
              </w:rPr>
              <w:t xml:space="preserve"> have contributed to the slow uptake of CLIL in England compared to that elsewhere in Europe and to its demise when key staff move on.</w:t>
            </w:r>
          </w:p>
          <w:p w14:paraId="0A18A6F1" w14:textId="77777777" w:rsidR="00C149A1" w:rsidRPr="00C149A1" w:rsidRDefault="00C149A1" w:rsidP="00C149A1">
            <w:pPr>
              <w:jc w:val="both"/>
              <w:rPr>
                <w:rFonts w:ascii="Times New Roman" w:eastAsia="Calibri" w:hAnsi="Times New Roman" w:cs="Times New Roman"/>
                <w:sz w:val="20"/>
                <w:szCs w:val="20"/>
              </w:rPr>
            </w:pPr>
            <w:r w:rsidRPr="00C149A1">
              <w:rPr>
                <w:rFonts w:ascii="Times New Roman" w:eastAsia="Calibri" w:hAnsi="Times New Roman" w:cs="Times New Roman"/>
                <w:sz w:val="20"/>
                <w:szCs w:val="20"/>
              </w:rPr>
              <w:t xml:space="preserve">In a school development system in which training comes from within, such lack of pedagogical understanding </w:t>
            </w:r>
            <w:r w:rsidRPr="00C149A1">
              <w:rPr>
                <w:rFonts w:ascii="Times New Roman" w:eastAsia="Calibri" w:hAnsi="Times New Roman" w:cs="Times New Roman"/>
                <w:b/>
                <w:sz w:val="20"/>
                <w:szCs w:val="20"/>
              </w:rPr>
              <w:t>may</w:t>
            </w:r>
            <w:r w:rsidRPr="00C149A1">
              <w:rPr>
                <w:rFonts w:ascii="Times New Roman" w:eastAsia="Calibri" w:hAnsi="Times New Roman" w:cs="Times New Roman"/>
                <w:sz w:val="20"/>
                <w:szCs w:val="20"/>
              </w:rPr>
              <w:t xml:space="preserve"> be of greater significance.</w:t>
            </w:r>
          </w:p>
          <w:p w14:paraId="6EC92D7C" w14:textId="77777777" w:rsidR="00C149A1" w:rsidRPr="00C149A1" w:rsidRDefault="00C149A1" w:rsidP="00C149A1">
            <w:pPr>
              <w:jc w:val="both"/>
              <w:rPr>
                <w:rFonts w:ascii="Times New Roman" w:eastAsia="Calibri" w:hAnsi="Times New Roman" w:cs="Times New Roman"/>
                <w:sz w:val="20"/>
                <w:szCs w:val="20"/>
              </w:rPr>
            </w:pPr>
            <w:r w:rsidRPr="00C149A1">
              <w:rPr>
                <w:rFonts w:ascii="Times New Roman" w:eastAsia="Calibri" w:hAnsi="Times New Roman" w:cs="Times New Roman"/>
                <w:sz w:val="20"/>
                <w:szCs w:val="20"/>
              </w:rPr>
              <w:t>Challenge to professional integrity (</w:t>
            </w:r>
            <w:proofErr w:type="spellStart"/>
            <w:r w:rsidRPr="00C149A1">
              <w:rPr>
                <w:rFonts w:ascii="Times New Roman" w:eastAsia="Calibri" w:hAnsi="Times New Roman" w:cs="Times New Roman"/>
                <w:sz w:val="20"/>
                <w:szCs w:val="20"/>
              </w:rPr>
              <w:t>Moate</w:t>
            </w:r>
            <w:proofErr w:type="spellEnd"/>
            <w:r w:rsidRPr="00C149A1">
              <w:rPr>
                <w:rFonts w:ascii="Times New Roman" w:eastAsia="Calibri" w:hAnsi="Times New Roman" w:cs="Times New Roman"/>
                <w:sz w:val="20"/>
                <w:szCs w:val="20"/>
              </w:rPr>
              <w:t xml:space="preserve">, 2011) that </w:t>
            </w:r>
            <w:r w:rsidRPr="00C149A1">
              <w:rPr>
                <w:rFonts w:ascii="Times New Roman" w:eastAsia="Calibri" w:hAnsi="Times New Roman" w:cs="Times New Roman"/>
                <w:b/>
                <w:sz w:val="20"/>
                <w:szCs w:val="20"/>
              </w:rPr>
              <w:t>can</w:t>
            </w:r>
            <w:r w:rsidRPr="00C149A1">
              <w:rPr>
                <w:rFonts w:ascii="Times New Roman" w:eastAsia="Calibri" w:hAnsi="Times New Roman" w:cs="Times New Roman"/>
                <w:sz w:val="20"/>
                <w:szCs w:val="20"/>
              </w:rPr>
              <w:t xml:space="preserve"> demotivate teacher practice was not evident in the findings.</w:t>
            </w:r>
          </w:p>
          <w:p w14:paraId="36E2E841" w14:textId="77777777" w:rsidR="00C149A1" w:rsidRPr="00C149A1" w:rsidRDefault="00C149A1" w:rsidP="00C149A1">
            <w:pPr>
              <w:jc w:val="both"/>
              <w:rPr>
                <w:rFonts w:ascii="Times New Roman" w:eastAsia="Calibri" w:hAnsi="Times New Roman" w:cs="Times New Roman"/>
                <w:sz w:val="20"/>
                <w:szCs w:val="20"/>
              </w:rPr>
            </w:pPr>
            <w:r w:rsidRPr="00C149A1">
              <w:rPr>
                <w:rFonts w:ascii="Times New Roman" w:eastAsia="Calibri" w:hAnsi="Times New Roman" w:cs="Times New Roman"/>
                <w:sz w:val="20"/>
                <w:szCs w:val="20"/>
              </w:rPr>
              <w:t xml:space="preserve">This </w:t>
            </w:r>
            <w:r w:rsidRPr="00C149A1">
              <w:rPr>
                <w:rFonts w:ascii="Times New Roman" w:eastAsia="Calibri" w:hAnsi="Times New Roman" w:cs="Times New Roman"/>
                <w:b/>
                <w:sz w:val="20"/>
                <w:szCs w:val="20"/>
              </w:rPr>
              <w:t>may</w:t>
            </w:r>
            <w:r w:rsidRPr="00C149A1">
              <w:rPr>
                <w:rFonts w:ascii="Times New Roman" w:eastAsia="Calibri" w:hAnsi="Times New Roman" w:cs="Times New Roman"/>
                <w:sz w:val="20"/>
                <w:szCs w:val="20"/>
              </w:rPr>
              <w:t xml:space="preserve"> be because the few teachers involved were confident in this approach and had opted to be involved.</w:t>
            </w:r>
          </w:p>
          <w:p w14:paraId="39F4E958" w14:textId="77777777" w:rsidR="00C149A1" w:rsidRPr="00C149A1" w:rsidRDefault="00C149A1" w:rsidP="00C149A1">
            <w:pPr>
              <w:jc w:val="both"/>
              <w:rPr>
                <w:rFonts w:ascii="Times New Roman" w:eastAsia="Calibri" w:hAnsi="Times New Roman" w:cs="Times New Roman"/>
                <w:sz w:val="20"/>
                <w:szCs w:val="20"/>
              </w:rPr>
            </w:pPr>
            <w:r w:rsidRPr="00C149A1">
              <w:rPr>
                <w:rFonts w:ascii="Times New Roman" w:eastAsia="Calibri" w:hAnsi="Times New Roman" w:cs="Times New Roman"/>
                <w:sz w:val="20"/>
                <w:szCs w:val="20"/>
              </w:rPr>
              <w:t xml:space="preserve">This </w:t>
            </w:r>
            <w:r w:rsidRPr="00C149A1">
              <w:rPr>
                <w:rFonts w:ascii="Times New Roman" w:eastAsia="Calibri" w:hAnsi="Times New Roman" w:cs="Times New Roman"/>
                <w:b/>
                <w:sz w:val="20"/>
                <w:szCs w:val="20"/>
              </w:rPr>
              <w:t>may</w:t>
            </w:r>
            <w:r w:rsidRPr="00C149A1">
              <w:rPr>
                <w:rFonts w:ascii="Times New Roman" w:eastAsia="Calibri" w:hAnsi="Times New Roman" w:cs="Times New Roman"/>
                <w:sz w:val="20"/>
                <w:szCs w:val="20"/>
              </w:rPr>
              <w:t xml:space="preserve"> relate to the nation-specific CLIL profile of England– in these schools, learners of all abilities enter their language national exams at least one year earlier than their peers and revert to English for the curriculum subject.</w:t>
            </w:r>
          </w:p>
        </w:tc>
      </w:tr>
      <w:tr w:rsidR="00C149A1" w:rsidRPr="00C149A1" w14:paraId="55A2D3D6" w14:textId="77777777" w:rsidTr="00191DDD">
        <w:tc>
          <w:tcPr>
            <w:tcW w:w="541" w:type="dxa"/>
            <w:tcBorders>
              <w:top w:val="single" w:sz="18" w:space="0" w:color="auto"/>
              <w:left w:val="nil"/>
              <w:bottom w:val="single" w:sz="18" w:space="0" w:color="auto"/>
              <w:right w:val="nil"/>
            </w:tcBorders>
          </w:tcPr>
          <w:p w14:paraId="77EB3C84" w14:textId="77777777" w:rsidR="00C149A1" w:rsidRPr="00C149A1" w:rsidRDefault="00C149A1" w:rsidP="00C149A1">
            <w:pPr>
              <w:rPr>
                <w:rFonts w:ascii="Times New Roman" w:eastAsia="Calibri" w:hAnsi="Times New Roman" w:cs="Times New Roman"/>
                <w:sz w:val="20"/>
                <w:szCs w:val="20"/>
              </w:rPr>
            </w:pPr>
            <w:r w:rsidRPr="00C149A1">
              <w:rPr>
                <w:rFonts w:ascii="Times New Roman" w:eastAsia="Calibri" w:hAnsi="Times New Roman" w:cs="Times New Roman"/>
                <w:sz w:val="20"/>
                <w:szCs w:val="20"/>
              </w:rPr>
              <w:lastRenderedPageBreak/>
              <w:t>3.</w:t>
            </w:r>
          </w:p>
        </w:tc>
        <w:tc>
          <w:tcPr>
            <w:tcW w:w="1732" w:type="dxa"/>
            <w:tcBorders>
              <w:top w:val="single" w:sz="18" w:space="0" w:color="auto"/>
              <w:left w:val="nil"/>
              <w:bottom w:val="single" w:sz="18" w:space="0" w:color="auto"/>
              <w:right w:val="nil"/>
            </w:tcBorders>
          </w:tcPr>
          <w:p w14:paraId="167D93A2" w14:textId="77777777" w:rsidR="00C149A1" w:rsidRPr="00C149A1" w:rsidRDefault="00C149A1" w:rsidP="00C149A1">
            <w:pPr>
              <w:jc w:val="center"/>
              <w:rPr>
                <w:rFonts w:ascii="Times New Roman" w:eastAsia="Calibri" w:hAnsi="Times New Roman" w:cs="Times New Roman"/>
                <w:sz w:val="20"/>
                <w:szCs w:val="20"/>
              </w:rPr>
            </w:pPr>
            <w:r w:rsidRPr="00C149A1">
              <w:rPr>
                <w:rFonts w:ascii="Times New Roman" w:eastAsia="Calibri" w:hAnsi="Times New Roman" w:cs="Times New Roman"/>
                <w:sz w:val="20"/>
                <w:szCs w:val="20"/>
              </w:rPr>
              <w:t>Brain and Language (BL) (Bice &amp; Kroll, 2019)</w:t>
            </w:r>
          </w:p>
        </w:tc>
        <w:tc>
          <w:tcPr>
            <w:tcW w:w="1838" w:type="dxa"/>
            <w:tcBorders>
              <w:top w:val="single" w:sz="18" w:space="0" w:color="auto"/>
              <w:left w:val="nil"/>
              <w:bottom w:val="single" w:sz="18" w:space="0" w:color="auto"/>
              <w:right w:val="nil"/>
            </w:tcBorders>
          </w:tcPr>
          <w:p w14:paraId="6A95751B" w14:textId="77777777" w:rsidR="00C149A1" w:rsidRPr="00C149A1" w:rsidRDefault="00C149A1" w:rsidP="00C149A1">
            <w:pPr>
              <w:numPr>
                <w:ilvl w:val="0"/>
                <w:numId w:val="1"/>
              </w:numPr>
              <w:contextualSpacing/>
              <w:jc w:val="center"/>
              <w:rPr>
                <w:rFonts w:ascii="Times New Roman" w:eastAsia="Calibri" w:hAnsi="Times New Roman" w:cs="Times New Roman"/>
                <w:sz w:val="20"/>
                <w:szCs w:val="20"/>
              </w:rPr>
            </w:pPr>
          </w:p>
        </w:tc>
        <w:tc>
          <w:tcPr>
            <w:tcW w:w="2558" w:type="dxa"/>
            <w:tcBorders>
              <w:top w:val="single" w:sz="18" w:space="0" w:color="auto"/>
              <w:left w:val="nil"/>
              <w:bottom w:val="single" w:sz="18" w:space="0" w:color="auto"/>
              <w:right w:val="nil"/>
            </w:tcBorders>
          </w:tcPr>
          <w:p w14:paraId="02BA830D" w14:textId="77777777" w:rsidR="00C149A1" w:rsidRPr="00C149A1" w:rsidRDefault="00C149A1" w:rsidP="00C149A1">
            <w:pPr>
              <w:jc w:val="both"/>
              <w:rPr>
                <w:rFonts w:ascii="Times New Roman" w:eastAsia="Calibri" w:hAnsi="Times New Roman" w:cs="Times New Roman"/>
                <w:sz w:val="20"/>
                <w:szCs w:val="20"/>
              </w:rPr>
            </w:pPr>
            <w:r w:rsidRPr="00C149A1">
              <w:rPr>
                <w:rFonts w:ascii="Times New Roman" w:eastAsia="Calibri" w:hAnsi="Times New Roman" w:cs="Times New Roman"/>
                <w:sz w:val="20"/>
                <w:szCs w:val="20"/>
              </w:rPr>
              <w:t xml:space="preserve">However, if SES were the primary factor, then Pennsylvania monolinguals </w:t>
            </w:r>
            <w:r w:rsidRPr="00C149A1">
              <w:rPr>
                <w:rFonts w:ascii="Times New Roman" w:eastAsia="Calibri" w:hAnsi="Times New Roman" w:cs="Times New Roman"/>
                <w:b/>
                <w:sz w:val="20"/>
                <w:szCs w:val="20"/>
              </w:rPr>
              <w:t>should</w:t>
            </w:r>
            <w:r w:rsidRPr="00C149A1">
              <w:rPr>
                <w:rFonts w:ascii="Times New Roman" w:eastAsia="Calibri" w:hAnsi="Times New Roman" w:cs="Times New Roman"/>
                <w:sz w:val="20"/>
                <w:szCs w:val="20"/>
              </w:rPr>
              <w:t xml:space="preserve"> have outperformed the California monolinguals.</w:t>
            </w:r>
          </w:p>
          <w:p w14:paraId="48422EF6" w14:textId="77777777" w:rsidR="00C149A1" w:rsidRPr="00C149A1" w:rsidRDefault="00C149A1" w:rsidP="00C149A1">
            <w:pPr>
              <w:jc w:val="both"/>
              <w:rPr>
                <w:rFonts w:ascii="Times New Roman" w:eastAsia="Calibri" w:hAnsi="Times New Roman" w:cs="Times New Roman"/>
                <w:sz w:val="20"/>
                <w:szCs w:val="20"/>
              </w:rPr>
            </w:pPr>
            <w:r w:rsidRPr="00C149A1">
              <w:rPr>
                <w:rFonts w:ascii="Times New Roman" w:eastAsia="Calibri" w:hAnsi="Times New Roman" w:cs="Times New Roman"/>
                <w:sz w:val="20"/>
                <w:szCs w:val="20"/>
              </w:rPr>
              <w:lastRenderedPageBreak/>
              <w:t xml:space="preserve">… other consequences for our participants (e.g., access to resources or opportunities) that </w:t>
            </w:r>
            <w:r w:rsidRPr="00C149A1">
              <w:rPr>
                <w:rFonts w:ascii="Times New Roman" w:eastAsia="Calibri" w:hAnsi="Times New Roman" w:cs="Times New Roman"/>
                <w:b/>
                <w:sz w:val="20"/>
                <w:szCs w:val="20"/>
              </w:rPr>
              <w:t>would</w:t>
            </w:r>
            <w:r w:rsidRPr="00C149A1">
              <w:rPr>
                <w:rFonts w:ascii="Times New Roman" w:eastAsia="Calibri" w:hAnsi="Times New Roman" w:cs="Times New Roman"/>
                <w:sz w:val="20"/>
                <w:szCs w:val="20"/>
              </w:rPr>
              <w:t xml:space="preserve"> only have been biased in favor of the Pennsylvania students.</w:t>
            </w:r>
          </w:p>
          <w:p w14:paraId="2E1077C6" w14:textId="77777777" w:rsidR="00C149A1" w:rsidRPr="00C149A1" w:rsidRDefault="00C149A1" w:rsidP="00C149A1">
            <w:pPr>
              <w:jc w:val="both"/>
              <w:rPr>
                <w:rFonts w:ascii="Times New Roman" w:eastAsia="Calibri" w:hAnsi="Times New Roman" w:cs="Times New Roman"/>
                <w:sz w:val="20"/>
                <w:szCs w:val="20"/>
              </w:rPr>
            </w:pPr>
            <w:r w:rsidRPr="00C149A1">
              <w:rPr>
                <w:rFonts w:ascii="Times New Roman" w:eastAsia="Calibri" w:hAnsi="Times New Roman" w:cs="Times New Roman"/>
                <w:sz w:val="20"/>
                <w:szCs w:val="20"/>
              </w:rPr>
              <w:t xml:space="preserve">Many studies </w:t>
            </w:r>
            <w:r w:rsidRPr="00C149A1">
              <w:rPr>
                <w:rFonts w:ascii="Times New Roman" w:eastAsia="Calibri" w:hAnsi="Times New Roman" w:cs="Times New Roman"/>
                <w:b/>
                <w:sz w:val="20"/>
                <w:szCs w:val="20"/>
              </w:rPr>
              <w:t>would</w:t>
            </w:r>
            <w:r w:rsidRPr="00C149A1">
              <w:rPr>
                <w:rFonts w:ascii="Times New Roman" w:eastAsia="Calibri" w:hAnsi="Times New Roman" w:cs="Times New Roman"/>
                <w:sz w:val="20"/>
                <w:szCs w:val="20"/>
              </w:rPr>
              <w:t xml:space="preserve"> exclude the monolinguals from California in our sample ….</w:t>
            </w:r>
          </w:p>
          <w:p w14:paraId="48CFC0B2" w14:textId="77777777" w:rsidR="00C149A1" w:rsidRPr="00C149A1" w:rsidRDefault="00C149A1" w:rsidP="00C149A1">
            <w:pPr>
              <w:jc w:val="both"/>
              <w:rPr>
                <w:rFonts w:ascii="Times New Roman" w:eastAsia="Calibri" w:hAnsi="Times New Roman" w:cs="Times New Roman"/>
                <w:sz w:val="20"/>
                <w:szCs w:val="20"/>
              </w:rPr>
            </w:pPr>
            <w:r w:rsidRPr="00C149A1">
              <w:rPr>
                <w:rFonts w:ascii="Times New Roman" w:eastAsia="Calibri" w:hAnsi="Times New Roman" w:cs="Times New Roman"/>
                <w:b/>
                <w:sz w:val="20"/>
                <w:szCs w:val="20"/>
              </w:rPr>
              <w:t>Would</w:t>
            </w:r>
            <w:r w:rsidRPr="00C149A1">
              <w:rPr>
                <w:rFonts w:ascii="Times New Roman" w:eastAsia="Calibri" w:hAnsi="Times New Roman" w:cs="Times New Roman"/>
                <w:sz w:val="20"/>
                <w:szCs w:val="20"/>
              </w:rPr>
              <w:t xml:space="preserve"> the California monolinguals be better able to learn a new language in a classroom setting?</w:t>
            </w:r>
          </w:p>
          <w:p w14:paraId="6520375E" w14:textId="77777777" w:rsidR="00C149A1" w:rsidRPr="00C149A1" w:rsidRDefault="00C149A1" w:rsidP="00C149A1">
            <w:pPr>
              <w:jc w:val="both"/>
              <w:rPr>
                <w:rFonts w:ascii="Times New Roman" w:eastAsia="Calibri" w:hAnsi="Times New Roman" w:cs="Times New Roman"/>
                <w:sz w:val="20"/>
                <w:szCs w:val="20"/>
              </w:rPr>
            </w:pPr>
            <w:r w:rsidRPr="00C149A1">
              <w:rPr>
                <w:rFonts w:ascii="Times New Roman" w:eastAsia="Calibri" w:hAnsi="Times New Roman" w:cs="Times New Roman"/>
                <w:sz w:val="20"/>
                <w:szCs w:val="20"/>
              </w:rPr>
              <w:t xml:space="preserve">In future research it </w:t>
            </w:r>
            <w:r w:rsidRPr="00C149A1">
              <w:rPr>
                <w:rFonts w:ascii="Times New Roman" w:eastAsia="Calibri" w:hAnsi="Times New Roman" w:cs="Times New Roman"/>
                <w:b/>
                <w:sz w:val="20"/>
                <w:szCs w:val="20"/>
              </w:rPr>
              <w:t>will</w:t>
            </w:r>
            <w:r w:rsidRPr="00C149A1">
              <w:rPr>
                <w:rFonts w:ascii="Times New Roman" w:eastAsia="Calibri" w:hAnsi="Times New Roman" w:cs="Times New Roman"/>
                <w:sz w:val="20"/>
                <w:szCs w:val="20"/>
              </w:rPr>
              <w:t xml:space="preserve"> be of great interest to determine whether openness to new learning is created by immersion in a diverse environment itself or whether specific features of the context or language experience are critical.</w:t>
            </w:r>
          </w:p>
          <w:p w14:paraId="1FF8EEA9" w14:textId="77777777" w:rsidR="00C149A1" w:rsidRPr="00C149A1" w:rsidRDefault="00C149A1" w:rsidP="00C149A1">
            <w:pPr>
              <w:jc w:val="both"/>
              <w:rPr>
                <w:rFonts w:ascii="Times New Roman" w:eastAsia="Calibri" w:hAnsi="Times New Roman" w:cs="Times New Roman"/>
                <w:sz w:val="20"/>
                <w:szCs w:val="20"/>
              </w:rPr>
            </w:pPr>
            <w:r w:rsidRPr="00C149A1">
              <w:rPr>
                <w:rFonts w:ascii="Times New Roman" w:eastAsia="Calibri" w:hAnsi="Times New Roman" w:cs="Times New Roman"/>
                <w:sz w:val="20"/>
                <w:szCs w:val="20"/>
              </w:rPr>
              <w:t xml:space="preserve">In retrospect, our conclusions </w:t>
            </w:r>
            <w:r w:rsidRPr="00C149A1">
              <w:rPr>
                <w:rFonts w:ascii="Times New Roman" w:eastAsia="Calibri" w:hAnsi="Times New Roman" w:cs="Times New Roman"/>
                <w:b/>
                <w:sz w:val="20"/>
                <w:szCs w:val="20"/>
              </w:rPr>
              <w:t>would</w:t>
            </w:r>
            <w:r w:rsidRPr="00C149A1">
              <w:rPr>
                <w:rFonts w:ascii="Times New Roman" w:eastAsia="Calibri" w:hAnsi="Times New Roman" w:cs="Times New Roman"/>
                <w:sz w:val="20"/>
                <w:szCs w:val="20"/>
              </w:rPr>
              <w:t xml:space="preserve"> be stronger if we had been able to limit the California sample of monolinguals to only those who had been living in the context for most or all of their lives;</w:t>
            </w:r>
          </w:p>
          <w:p w14:paraId="2BE8973F" w14:textId="77777777" w:rsidR="00C149A1" w:rsidRPr="00C149A1" w:rsidRDefault="00C149A1" w:rsidP="00C149A1">
            <w:pPr>
              <w:jc w:val="both"/>
              <w:rPr>
                <w:rFonts w:ascii="Times New Roman" w:eastAsia="Calibri" w:hAnsi="Times New Roman" w:cs="Times New Roman"/>
                <w:sz w:val="20"/>
                <w:szCs w:val="20"/>
              </w:rPr>
            </w:pPr>
            <w:r w:rsidRPr="00C149A1">
              <w:rPr>
                <w:rFonts w:ascii="Times New Roman" w:eastAsia="Calibri" w:hAnsi="Times New Roman" w:cs="Times New Roman"/>
                <w:sz w:val="20"/>
                <w:szCs w:val="20"/>
              </w:rPr>
              <w:t xml:space="preserve">Nevertheless, if our sample did include monolinguals who had only recently moved to that context, then the effect </w:t>
            </w:r>
            <w:r w:rsidRPr="00C149A1">
              <w:rPr>
                <w:rFonts w:ascii="Times New Roman" w:eastAsia="Calibri" w:hAnsi="Times New Roman" w:cs="Times New Roman"/>
                <w:b/>
                <w:sz w:val="20"/>
                <w:szCs w:val="20"/>
              </w:rPr>
              <w:t>would</w:t>
            </w:r>
            <w:r w:rsidRPr="00C149A1">
              <w:rPr>
                <w:rFonts w:ascii="Times New Roman" w:eastAsia="Calibri" w:hAnsi="Times New Roman" w:cs="Times New Roman"/>
                <w:sz w:val="20"/>
                <w:szCs w:val="20"/>
              </w:rPr>
              <w:t xml:space="preserve"> likely be smaller, leading to greater noise in the signal or an underestimation of the effect.</w:t>
            </w:r>
          </w:p>
          <w:p w14:paraId="14FF1B2A" w14:textId="77777777" w:rsidR="00C149A1" w:rsidRPr="00C149A1" w:rsidRDefault="00C149A1" w:rsidP="00C149A1">
            <w:pPr>
              <w:jc w:val="both"/>
              <w:rPr>
                <w:rFonts w:ascii="Times New Roman" w:eastAsia="Calibri" w:hAnsi="Times New Roman" w:cs="Times New Roman"/>
                <w:sz w:val="20"/>
                <w:szCs w:val="20"/>
              </w:rPr>
            </w:pPr>
            <w:r w:rsidRPr="00C149A1">
              <w:rPr>
                <w:rFonts w:ascii="Times New Roman" w:eastAsia="Calibri" w:hAnsi="Times New Roman" w:cs="Times New Roman"/>
                <w:sz w:val="20"/>
                <w:szCs w:val="20"/>
              </w:rPr>
              <w:t xml:space="preserve">Likewise, we </w:t>
            </w:r>
            <w:r w:rsidRPr="00C149A1">
              <w:rPr>
                <w:rFonts w:ascii="Times New Roman" w:eastAsia="Calibri" w:hAnsi="Times New Roman" w:cs="Times New Roman"/>
                <w:b/>
                <w:sz w:val="20"/>
                <w:szCs w:val="20"/>
              </w:rPr>
              <w:t>would</w:t>
            </w:r>
            <w:r w:rsidRPr="00C149A1">
              <w:rPr>
                <w:rFonts w:ascii="Times New Roman" w:eastAsia="Calibri" w:hAnsi="Times New Roman" w:cs="Times New Roman"/>
                <w:sz w:val="20"/>
                <w:szCs w:val="20"/>
              </w:rPr>
              <w:t xml:space="preserve"> have liked to have been able to ask more detailed questions regarding language experiences, exposure to languages other than those that the participants reported having previously studied, performance in foreign language classes, socioeconomic status, etc.</w:t>
            </w:r>
          </w:p>
          <w:p w14:paraId="19C1D47B" w14:textId="77777777" w:rsidR="00C149A1" w:rsidRPr="00C149A1" w:rsidRDefault="00C149A1" w:rsidP="00C149A1">
            <w:pPr>
              <w:jc w:val="both"/>
              <w:rPr>
                <w:rFonts w:ascii="Times New Roman" w:eastAsia="Calibri" w:hAnsi="Times New Roman" w:cs="Times New Roman"/>
                <w:sz w:val="20"/>
                <w:szCs w:val="20"/>
              </w:rPr>
            </w:pPr>
          </w:p>
        </w:tc>
        <w:tc>
          <w:tcPr>
            <w:tcW w:w="3679" w:type="dxa"/>
            <w:tcBorders>
              <w:top w:val="single" w:sz="18" w:space="0" w:color="auto"/>
              <w:left w:val="nil"/>
              <w:bottom w:val="single" w:sz="18" w:space="0" w:color="auto"/>
              <w:right w:val="nil"/>
            </w:tcBorders>
          </w:tcPr>
          <w:p w14:paraId="3C012B54" w14:textId="77777777" w:rsidR="00C149A1" w:rsidRPr="00C149A1" w:rsidRDefault="00C149A1" w:rsidP="00C149A1">
            <w:pPr>
              <w:jc w:val="both"/>
              <w:rPr>
                <w:rFonts w:ascii="Times New Roman" w:eastAsia="Calibri" w:hAnsi="Times New Roman" w:cs="Times New Roman"/>
                <w:sz w:val="20"/>
                <w:szCs w:val="20"/>
              </w:rPr>
            </w:pPr>
            <w:r w:rsidRPr="00C149A1">
              <w:rPr>
                <w:rFonts w:ascii="Times New Roman" w:eastAsia="Calibri" w:hAnsi="Times New Roman" w:cs="Times New Roman"/>
                <w:sz w:val="20"/>
                <w:szCs w:val="20"/>
              </w:rPr>
              <w:lastRenderedPageBreak/>
              <w:t xml:space="preserve">The observation that the ERP deflection was found in the real words rather than to the violations </w:t>
            </w:r>
            <w:r w:rsidRPr="00C149A1">
              <w:rPr>
                <w:rFonts w:ascii="Times New Roman" w:eastAsia="Calibri" w:hAnsi="Times New Roman" w:cs="Times New Roman"/>
                <w:b/>
                <w:sz w:val="20"/>
                <w:szCs w:val="20"/>
              </w:rPr>
              <w:t>may</w:t>
            </w:r>
            <w:r w:rsidRPr="00C149A1">
              <w:rPr>
                <w:rFonts w:ascii="Times New Roman" w:eastAsia="Calibri" w:hAnsi="Times New Roman" w:cs="Times New Roman"/>
                <w:sz w:val="20"/>
                <w:szCs w:val="20"/>
              </w:rPr>
              <w:t xml:space="preserve"> imply that the California monolinguals learned something about what forms the real words, rather than </w:t>
            </w:r>
            <w:r w:rsidRPr="00C149A1">
              <w:rPr>
                <w:rFonts w:ascii="Times New Roman" w:eastAsia="Calibri" w:hAnsi="Times New Roman" w:cs="Times New Roman"/>
                <w:sz w:val="20"/>
                <w:szCs w:val="20"/>
              </w:rPr>
              <w:lastRenderedPageBreak/>
              <w:t>something about what made the “fake” words different.</w:t>
            </w:r>
          </w:p>
          <w:p w14:paraId="13E81BA5" w14:textId="77777777" w:rsidR="00C149A1" w:rsidRPr="00C149A1" w:rsidRDefault="00C149A1" w:rsidP="00C149A1">
            <w:pPr>
              <w:jc w:val="both"/>
              <w:rPr>
                <w:rFonts w:ascii="Times New Roman" w:eastAsia="Calibri" w:hAnsi="Times New Roman" w:cs="Times New Roman"/>
                <w:sz w:val="20"/>
                <w:szCs w:val="20"/>
              </w:rPr>
            </w:pPr>
            <w:r w:rsidRPr="00C149A1">
              <w:rPr>
                <w:rFonts w:ascii="Times New Roman" w:eastAsia="Calibri" w:hAnsi="Times New Roman" w:cs="Times New Roman"/>
                <w:sz w:val="20"/>
                <w:szCs w:val="20"/>
              </w:rPr>
              <w:t xml:space="preserve">There are potential factors that it was not possible to control in the current study that </w:t>
            </w:r>
            <w:r w:rsidRPr="00C149A1">
              <w:rPr>
                <w:rFonts w:ascii="Times New Roman" w:eastAsia="Calibri" w:hAnsi="Times New Roman" w:cs="Times New Roman"/>
                <w:b/>
                <w:sz w:val="20"/>
                <w:szCs w:val="20"/>
              </w:rPr>
              <w:t>could</w:t>
            </w:r>
            <w:r w:rsidRPr="00C149A1">
              <w:rPr>
                <w:rFonts w:ascii="Times New Roman" w:eastAsia="Calibri" w:hAnsi="Times New Roman" w:cs="Times New Roman"/>
                <w:sz w:val="20"/>
                <w:szCs w:val="20"/>
              </w:rPr>
              <w:t xml:space="preserve"> have impacted the results, including SES.</w:t>
            </w:r>
          </w:p>
          <w:p w14:paraId="4A795285" w14:textId="77777777" w:rsidR="00C149A1" w:rsidRPr="00C149A1" w:rsidRDefault="00C149A1" w:rsidP="00C149A1">
            <w:pPr>
              <w:jc w:val="both"/>
              <w:rPr>
                <w:rFonts w:ascii="Times New Roman" w:eastAsia="Calibri" w:hAnsi="Times New Roman" w:cs="Times New Roman"/>
                <w:sz w:val="20"/>
                <w:szCs w:val="20"/>
              </w:rPr>
            </w:pPr>
            <w:r w:rsidRPr="00C149A1">
              <w:rPr>
                <w:rFonts w:ascii="Times New Roman" w:eastAsia="Calibri" w:hAnsi="Times New Roman" w:cs="Times New Roman"/>
                <w:sz w:val="20"/>
                <w:szCs w:val="20"/>
              </w:rPr>
              <w:t xml:space="preserve">Therefore, in many ways, one </w:t>
            </w:r>
            <w:r w:rsidRPr="00C149A1">
              <w:rPr>
                <w:rFonts w:ascii="Times New Roman" w:eastAsia="Calibri" w:hAnsi="Times New Roman" w:cs="Times New Roman"/>
                <w:b/>
                <w:sz w:val="20"/>
                <w:szCs w:val="20"/>
              </w:rPr>
              <w:t>might</w:t>
            </w:r>
            <w:r w:rsidRPr="00C149A1">
              <w:rPr>
                <w:rFonts w:ascii="Times New Roman" w:eastAsia="Calibri" w:hAnsi="Times New Roman" w:cs="Times New Roman"/>
                <w:sz w:val="20"/>
                <w:szCs w:val="20"/>
              </w:rPr>
              <w:t xml:space="preserve"> expect larger differences between the monolingual groups based on SES factors alone, in favor of those living in Pennsylvania.</w:t>
            </w:r>
          </w:p>
          <w:p w14:paraId="2B5FA065" w14:textId="77777777" w:rsidR="00C149A1" w:rsidRPr="00C149A1" w:rsidRDefault="00C149A1" w:rsidP="00C149A1">
            <w:pPr>
              <w:jc w:val="both"/>
              <w:rPr>
                <w:rFonts w:ascii="Times New Roman" w:eastAsia="Calibri" w:hAnsi="Times New Roman" w:cs="Times New Roman"/>
                <w:sz w:val="20"/>
                <w:szCs w:val="20"/>
              </w:rPr>
            </w:pPr>
            <w:r w:rsidRPr="00C149A1">
              <w:rPr>
                <w:rFonts w:ascii="Times New Roman" w:eastAsia="Calibri" w:hAnsi="Times New Roman" w:cs="Times New Roman"/>
                <w:sz w:val="20"/>
                <w:szCs w:val="20"/>
              </w:rPr>
              <w:t xml:space="preserve">Although SES differences have not been directly linked to second language learning or learning more generally, particularly in college-age students, the differences in SES </w:t>
            </w:r>
            <w:r w:rsidRPr="00C149A1">
              <w:rPr>
                <w:rFonts w:ascii="Times New Roman" w:eastAsia="Calibri" w:hAnsi="Times New Roman" w:cs="Times New Roman"/>
                <w:b/>
                <w:sz w:val="20"/>
                <w:szCs w:val="20"/>
              </w:rPr>
              <w:t>may</w:t>
            </w:r>
            <w:r w:rsidRPr="00C149A1">
              <w:rPr>
                <w:rFonts w:ascii="Times New Roman" w:eastAsia="Calibri" w:hAnsi="Times New Roman" w:cs="Times New Roman"/>
                <w:sz w:val="20"/>
                <w:szCs w:val="20"/>
              </w:rPr>
              <w:t xml:space="preserve"> have had other consequences for our participants ….</w:t>
            </w:r>
          </w:p>
          <w:p w14:paraId="0E9901A2" w14:textId="77777777" w:rsidR="00C149A1" w:rsidRPr="00C149A1" w:rsidRDefault="00C149A1" w:rsidP="00C149A1">
            <w:pPr>
              <w:jc w:val="both"/>
              <w:rPr>
                <w:rFonts w:ascii="Times New Roman" w:eastAsia="Calibri" w:hAnsi="Times New Roman" w:cs="Times New Roman"/>
                <w:sz w:val="20"/>
                <w:szCs w:val="20"/>
              </w:rPr>
            </w:pPr>
            <w:r w:rsidRPr="00C149A1">
              <w:rPr>
                <w:rFonts w:ascii="Times New Roman" w:eastAsia="Calibri" w:hAnsi="Times New Roman" w:cs="Times New Roman"/>
                <w:sz w:val="20"/>
                <w:szCs w:val="20"/>
              </w:rPr>
              <w:t xml:space="preserve">The ERP differences between the two monolingual groups suggests that ambient linguistic diversity, and the various other factors co-involved in linguistic diversity, </w:t>
            </w:r>
            <w:r w:rsidRPr="00C149A1">
              <w:rPr>
                <w:rFonts w:ascii="Times New Roman" w:eastAsia="Calibri" w:hAnsi="Times New Roman" w:cs="Times New Roman"/>
                <w:b/>
                <w:sz w:val="20"/>
                <w:szCs w:val="20"/>
              </w:rPr>
              <w:t>may</w:t>
            </w:r>
            <w:r w:rsidRPr="00C149A1">
              <w:rPr>
                <w:rFonts w:ascii="Times New Roman" w:eastAsia="Calibri" w:hAnsi="Times New Roman" w:cs="Times New Roman"/>
                <w:sz w:val="20"/>
                <w:szCs w:val="20"/>
              </w:rPr>
              <w:t xml:space="preserve"> have a positive impact on new language learning.</w:t>
            </w:r>
          </w:p>
          <w:p w14:paraId="1EE06D82" w14:textId="77777777" w:rsidR="00C149A1" w:rsidRPr="00C149A1" w:rsidRDefault="00C149A1" w:rsidP="00C149A1">
            <w:pPr>
              <w:jc w:val="both"/>
              <w:rPr>
                <w:rFonts w:ascii="Times New Roman" w:eastAsia="Calibri" w:hAnsi="Times New Roman" w:cs="Times New Roman"/>
                <w:sz w:val="20"/>
                <w:szCs w:val="20"/>
              </w:rPr>
            </w:pPr>
            <w:r w:rsidRPr="00C149A1">
              <w:rPr>
                <w:rFonts w:ascii="Times New Roman" w:eastAsia="Calibri" w:hAnsi="Times New Roman" w:cs="Times New Roman"/>
                <w:sz w:val="20"/>
                <w:szCs w:val="20"/>
              </w:rPr>
              <w:t xml:space="preserve">As noted, there are other factors that </w:t>
            </w:r>
            <w:r w:rsidRPr="00C149A1">
              <w:rPr>
                <w:rFonts w:ascii="Times New Roman" w:eastAsia="Calibri" w:hAnsi="Times New Roman" w:cs="Times New Roman"/>
                <w:b/>
                <w:sz w:val="20"/>
                <w:szCs w:val="20"/>
              </w:rPr>
              <w:t>may</w:t>
            </w:r>
            <w:r w:rsidRPr="00C149A1">
              <w:rPr>
                <w:rFonts w:ascii="Times New Roman" w:eastAsia="Calibri" w:hAnsi="Times New Roman" w:cs="Times New Roman"/>
                <w:sz w:val="20"/>
                <w:szCs w:val="20"/>
              </w:rPr>
              <w:t xml:space="preserve"> have contributed to these differences.</w:t>
            </w:r>
          </w:p>
          <w:p w14:paraId="22D5DCE9" w14:textId="77777777" w:rsidR="00C149A1" w:rsidRPr="00C149A1" w:rsidRDefault="00C149A1" w:rsidP="00C149A1">
            <w:pPr>
              <w:jc w:val="both"/>
              <w:rPr>
                <w:rFonts w:ascii="Times New Roman" w:eastAsia="Calibri" w:hAnsi="Times New Roman" w:cs="Times New Roman"/>
                <w:sz w:val="20"/>
                <w:szCs w:val="20"/>
              </w:rPr>
            </w:pPr>
            <w:r w:rsidRPr="00C149A1">
              <w:rPr>
                <w:rFonts w:ascii="Times New Roman" w:eastAsia="Calibri" w:hAnsi="Times New Roman" w:cs="Times New Roman"/>
                <w:sz w:val="20"/>
                <w:szCs w:val="20"/>
              </w:rPr>
              <w:t xml:space="preserve">Even if ambient linguistic diversity is the factor driving this effect, we </w:t>
            </w:r>
            <w:r w:rsidRPr="00C149A1">
              <w:rPr>
                <w:rFonts w:ascii="Times New Roman" w:eastAsia="Calibri" w:hAnsi="Times New Roman" w:cs="Times New Roman"/>
                <w:b/>
                <w:sz w:val="20"/>
                <w:szCs w:val="20"/>
              </w:rPr>
              <w:t>cannot</w:t>
            </w:r>
            <w:r w:rsidRPr="00C149A1">
              <w:rPr>
                <w:rFonts w:ascii="Times New Roman" w:eastAsia="Calibri" w:hAnsi="Times New Roman" w:cs="Times New Roman"/>
                <w:sz w:val="20"/>
                <w:szCs w:val="20"/>
              </w:rPr>
              <w:t xml:space="preserve"> tell from these data alone whether it is simply overhearing foreign languages, the requirement to interact regularly with non-native speakers of English, or actual differences in past language learning experience.</w:t>
            </w:r>
          </w:p>
          <w:p w14:paraId="01889178" w14:textId="77777777" w:rsidR="00C149A1" w:rsidRPr="00C149A1" w:rsidRDefault="00C149A1" w:rsidP="00C149A1">
            <w:pPr>
              <w:jc w:val="both"/>
              <w:rPr>
                <w:rFonts w:ascii="Times New Roman" w:eastAsia="Calibri" w:hAnsi="Times New Roman" w:cs="Times New Roman"/>
                <w:sz w:val="20"/>
                <w:szCs w:val="20"/>
              </w:rPr>
            </w:pPr>
            <w:r w:rsidRPr="00C149A1">
              <w:rPr>
                <w:rFonts w:ascii="Times New Roman" w:eastAsia="Calibri" w:hAnsi="Times New Roman" w:cs="Times New Roman"/>
                <w:sz w:val="20"/>
                <w:szCs w:val="20"/>
              </w:rPr>
              <w:t xml:space="preserve">Living among linguistic diversity not only increases the number of interactions with accented speakers, but also </w:t>
            </w:r>
            <w:r w:rsidRPr="00C149A1">
              <w:rPr>
                <w:rFonts w:ascii="Times New Roman" w:eastAsia="Calibri" w:hAnsi="Times New Roman" w:cs="Times New Roman"/>
                <w:b/>
                <w:sz w:val="20"/>
                <w:szCs w:val="20"/>
              </w:rPr>
              <w:t>may</w:t>
            </w:r>
            <w:r w:rsidRPr="00C149A1">
              <w:rPr>
                <w:rFonts w:ascii="Times New Roman" w:eastAsia="Calibri" w:hAnsi="Times New Roman" w:cs="Times New Roman"/>
                <w:sz w:val="20"/>
                <w:szCs w:val="20"/>
              </w:rPr>
              <w:t xml:space="preserve"> have consequences for the regional dialect.</w:t>
            </w:r>
          </w:p>
          <w:p w14:paraId="6F414C42" w14:textId="77777777" w:rsidR="00C149A1" w:rsidRPr="00C149A1" w:rsidRDefault="00C149A1" w:rsidP="00C149A1">
            <w:pPr>
              <w:jc w:val="both"/>
              <w:rPr>
                <w:rFonts w:ascii="Times New Roman" w:eastAsia="Calibri" w:hAnsi="Times New Roman" w:cs="Times New Roman"/>
                <w:sz w:val="20"/>
                <w:szCs w:val="20"/>
              </w:rPr>
            </w:pPr>
            <w:r w:rsidRPr="00C149A1">
              <w:rPr>
                <w:rFonts w:ascii="Times New Roman" w:eastAsia="Calibri" w:hAnsi="Times New Roman" w:cs="Times New Roman"/>
                <w:sz w:val="20"/>
                <w:szCs w:val="20"/>
              </w:rPr>
              <w:t xml:space="preserve">… for not being what one </w:t>
            </w:r>
            <w:r w:rsidRPr="00C149A1">
              <w:rPr>
                <w:rFonts w:ascii="Times New Roman" w:eastAsia="Calibri" w:hAnsi="Times New Roman" w:cs="Times New Roman"/>
                <w:b/>
                <w:sz w:val="20"/>
                <w:szCs w:val="20"/>
              </w:rPr>
              <w:t>might</w:t>
            </w:r>
            <w:r w:rsidRPr="00C149A1">
              <w:rPr>
                <w:rFonts w:ascii="Times New Roman" w:eastAsia="Calibri" w:hAnsi="Times New Roman" w:cs="Times New Roman"/>
                <w:sz w:val="20"/>
                <w:szCs w:val="20"/>
              </w:rPr>
              <w:t xml:space="preserve"> consider “pure” monolinguals.</w:t>
            </w:r>
          </w:p>
          <w:p w14:paraId="37176B80" w14:textId="77777777" w:rsidR="00C149A1" w:rsidRPr="00C149A1" w:rsidRDefault="00C149A1" w:rsidP="00C149A1">
            <w:pPr>
              <w:jc w:val="both"/>
              <w:rPr>
                <w:rFonts w:ascii="Times New Roman" w:eastAsia="Calibri" w:hAnsi="Times New Roman" w:cs="Times New Roman"/>
                <w:sz w:val="20"/>
                <w:szCs w:val="20"/>
              </w:rPr>
            </w:pPr>
            <w:r w:rsidRPr="00C149A1">
              <w:rPr>
                <w:rFonts w:ascii="Times New Roman" w:eastAsia="Calibri" w:hAnsi="Times New Roman" w:cs="Times New Roman"/>
                <w:sz w:val="20"/>
                <w:szCs w:val="20"/>
              </w:rPr>
              <w:t xml:space="preserve">The effects of ambient linguistic diversity </w:t>
            </w:r>
            <w:r w:rsidRPr="00C149A1">
              <w:rPr>
                <w:rFonts w:ascii="Times New Roman" w:eastAsia="Calibri" w:hAnsi="Times New Roman" w:cs="Times New Roman"/>
                <w:b/>
                <w:sz w:val="20"/>
                <w:szCs w:val="20"/>
              </w:rPr>
              <w:t>may</w:t>
            </w:r>
            <w:r w:rsidRPr="00C149A1">
              <w:rPr>
                <w:rFonts w:ascii="Times New Roman" w:eastAsia="Calibri" w:hAnsi="Times New Roman" w:cs="Times New Roman"/>
                <w:sz w:val="20"/>
                <w:szCs w:val="20"/>
              </w:rPr>
              <w:t xml:space="preserve"> prepare individuals for some, but not all, aspects of new language learning.</w:t>
            </w:r>
          </w:p>
          <w:p w14:paraId="1883E5B1" w14:textId="77777777" w:rsidR="00C149A1" w:rsidRPr="00C149A1" w:rsidRDefault="00C149A1" w:rsidP="00C149A1">
            <w:pPr>
              <w:jc w:val="both"/>
              <w:rPr>
                <w:rFonts w:ascii="Times New Roman" w:eastAsia="Calibri" w:hAnsi="Times New Roman" w:cs="Times New Roman"/>
                <w:sz w:val="20"/>
                <w:szCs w:val="20"/>
              </w:rPr>
            </w:pPr>
            <w:r w:rsidRPr="00C149A1">
              <w:rPr>
                <w:rFonts w:ascii="Times New Roman" w:eastAsia="Calibri" w:hAnsi="Times New Roman" w:cs="Times New Roman"/>
                <w:sz w:val="20"/>
                <w:szCs w:val="20"/>
              </w:rPr>
              <w:t xml:space="preserve">However, most studies on language immersion examine late bilinguals who are intentionally learning the language and who are moving from a relatively unilingual context into an immersion context that </w:t>
            </w:r>
            <w:r w:rsidRPr="00C149A1">
              <w:rPr>
                <w:rFonts w:ascii="Times New Roman" w:eastAsia="Calibri" w:hAnsi="Times New Roman" w:cs="Times New Roman"/>
                <w:b/>
                <w:sz w:val="20"/>
                <w:szCs w:val="20"/>
              </w:rPr>
              <w:t>may</w:t>
            </w:r>
            <w:r w:rsidRPr="00C149A1">
              <w:rPr>
                <w:rFonts w:ascii="Times New Roman" w:eastAsia="Calibri" w:hAnsi="Times New Roman" w:cs="Times New Roman"/>
                <w:sz w:val="20"/>
                <w:szCs w:val="20"/>
              </w:rPr>
              <w:t xml:space="preserve"> itself be unilingual or linguistically diverse.</w:t>
            </w:r>
          </w:p>
          <w:p w14:paraId="170F8920" w14:textId="77777777" w:rsidR="00C149A1" w:rsidRPr="00C149A1" w:rsidRDefault="00C149A1" w:rsidP="00C149A1">
            <w:pPr>
              <w:jc w:val="both"/>
              <w:rPr>
                <w:rFonts w:ascii="Times New Roman" w:eastAsia="Calibri" w:hAnsi="Times New Roman" w:cs="Times New Roman"/>
                <w:sz w:val="20"/>
                <w:szCs w:val="20"/>
              </w:rPr>
            </w:pPr>
            <w:r w:rsidRPr="00C149A1">
              <w:rPr>
                <w:rFonts w:ascii="Times New Roman" w:eastAsia="Calibri" w:hAnsi="Times New Roman" w:cs="Times New Roman"/>
                <w:sz w:val="20"/>
                <w:szCs w:val="20"/>
              </w:rPr>
              <w:t xml:space="preserve">This lessened our experimental control and ability to report many variables and factors that </w:t>
            </w:r>
            <w:r w:rsidRPr="00C149A1">
              <w:rPr>
                <w:rFonts w:ascii="Times New Roman" w:eastAsia="Calibri" w:hAnsi="Times New Roman" w:cs="Times New Roman"/>
                <w:b/>
                <w:sz w:val="20"/>
                <w:szCs w:val="20"/>
              </w:rPr>
              <w:t>could</w:t>
            </w:r>
            <w:r w:rsidRPr="00C149A1">
              <w:rPr>
                <w:rFonts w:ascii="Times New Roman" w:eastAsia="Calibri" w:hAnsi="Times New Roman" w:cs="Times New Roman"/>
                <w:sz w:val="20"/>
                <w:szCs w:val="20"/>
              </w:rPr>
              <w:t xml:space="preserve"> have been useful for disentangling the source of the effects.</w:t>
            </w:r>
          </w:p>
          <w:p w14:paraId="4A0C5196" w14:textId="77777777" w:rsidR="00C149A1" w:rsidRPr="00C149A1" w:rsidRDefault="00C149A1" w:rsidP="00C149A1">
            <w:pPr>
              <w:jc w:val="both"/>
              <w:rPr>
                <w:rFonts w:ascii="Times New Roman" w:eastAsia="Calibri" w:hAnsi="Times New Roman" w:cs="Times New Roman"/>
                <w:sz w:val="20"/>
                <w:szCs w:val="20"/>
              </w:rPr>
            </w:pPr>
            <w:r w:rsidRPr="00C149A1">
              <w:rPr>
                <w:rFonts w:ascii="Times New Roman" w:eastAsia="Calibri" w:hAnsi="Times New Roman" w:cs="Times New Roman"/>
                <w:sz w:val="20"/>
                <w:szCs w:val="20"/>
              </w:rPr>
              <w:t xml:space="preserve">However, despite the lack of empirical measures to describe how these groups </w:t>
            </w:r>
            <w:r w:rsidRPr="00C149A1">
              <w:rPr>
                <w:rFonts w:ascii="Times New Roman" w:eastAsia="Calibri" w:hAnsi="Times New Roman" w:cs="Times New Roman"/>
                <w:b/>
                <w:sz w:val="20"/>
                <w:szCs w:val="20"/>
              </w:rPr>
              <w:t>may</w:t>
            </w:r>
            <w:r w:rsidRPr="00C149A1">
              <w:rPr>
                <w:rFonts w:ascii="Times New Roman" w:eastAsia="Calibri" w:hAnsi="Times New Roman" w:cs="Times New Roman"/>
                <w:sz w:val="20"/>
                <w:szCs w:val="20"/>
              </w:rPr>
              <w:t xml:space="preserve"> differ, we fully believe that the differences between contexts and the effects on language learning reported here are true and representative.</w:t>
            </w:r>
          </w:p>
        </w:tc>
      </w:tr>
      <w:tr w:rsidR="00C149A1" w:rsidRPr="00C149A1" w14:paraId="185C22A7" w14:textId="77777777" w:rsidTr="00191DDD">
        <w:tc>
          <w:tcPr>
            <w:tcW w:w="541" w:type="dxa"/>
            <w:tcBorders>
              <w:top w:val="single" w:sz="18" w:space="0" w:color="auto"/>
              <w:left w:val="nil"/>
              <w:bottom w:val="single" w:sz="18" w:space="0" w:color="auto"/>
              <w:right w:val="nil"/>
            </w:tcBorders>
          </w:tcPr>
          <w:p w14:paraId="62A5AB9B" w14:textId="77777777" w:rsidR="00C149A1" w:rsidRPr="00C149A1" w:rsidRDefault="00C149A1" w:rsidP="00C149A1">
            <w:pPr>
              <w:rPr>
                <w:rFonts w:ascii="Times New Roman" w:eastAsia="Calibri" w:hAnsi="Times New Roman" w:cs="Times New Roman"/>
                <w:sz w:val="20"/>
                <w:szCs w:val="20"/>
              </w:rPr>
            </w:pPr>
            <w:r w:rsidRPr="00C149A1">
              <w:rPr>
                <w:rFonts w:ascii="Times New Roman" w:eastAsia="Calibri" w:hAnsi="Times New Roman" w:cs="Times New Roman"/>
                <w:sz w:val="20"/>
                <w:szCs w:val="20"/>
              </w:rPr>
              <w:lastRenderedPageBreak/>
              <w:t>4.</w:t>
            </w:r>
          </w:p>
        </w:tc>
        <w:tc>
          <w:tcPr>
            <w:tcW w:w="1732" w:type="dxa"/>
            <w:tcBorders>
              <w:top w:val="single" w:sz="18" w:space="0" w:color="auto"/>
              <w:left w:val="nil"/>
              <w:bottom w:val="single" w:sz="18" w:space="0" w:color="auto"/>
              <w:right w:val="nil"/>
            </w:tcBorders>
          </w:tcPr>
          <w:p w14:paraId="08B5449C" w14:textId="77777777" w:rsidR="00C149A1" w:rsidRPr="00C149A1" w:rsidRDefault="00C149A1" w:rsidP="00C149A1">
            <w:pPr>
              <w:jc w:val="center"/>
              <w:rPr>
                <w:rFonts w:ascii="Times New Roman" w:eastAsia="Calibri" w:hAnsi="Times New Roman" w:cs="Times New Roman"/>
                <w:sz w:val="20"/>
                <w:szCs w:val="20"/>
              </w:rPr>
            </w:pPr>
            <w:r w:rsidRPr="00C149A1">
              <w:rPr>
                <w:rFonts w:ascii="Times New Roman" w:eastAsia="Calibri" w:hAnsi="Times New Roman" w:cs="Times New Roman"/>
                <w:sz w:val="20"/>
                <w:szCs w:val="20"/>
              </w:rPr>
              <w:t>Language, Cognition and Neuroscience (LCN) (Kaiser, 2019)</w:t>
            </w:r>
          </w:p>
        </w:tc>
        <w:tc>
          <w:tcPr>
            <w:tcW w:w="1838" w:type="dxa"/>
            <w:tcBorders>
              <w:top w:val="single" w:sz="18" w:space="0" w:color="auto"/>
              <w:left w:val="nil"/>
              <w:bottom w:val="single" w:sz="18" w:space="0" w:color="auto"/>
              <w:right w:val="nil"/>
            </w:tcBorders>
          </w:tcPr>
          <w:p w14:paraId="2D15CC58" w14:textId="77777777" w:rsidR="00C149A1" w:rsidRPr="00C149A1" w:rsidRDefault="00C149A1" w:rsidP="00C149A1">
            <w:pPr>
              <w:jc w:val="both"/>
              <w:rPr>
                <w:rFonts w:ascii="Times New Roman" w:eastAsia="Calibri" w:hAnsi="Times New Roman" w:cs="Times New Roman"/>
                <w:sz w:val="20"/>
                <w:szCs w:val="20"/>
              </w:rPr>
            </w:pPr>
            <w:r w:rsidRPr="00C149A1">
              <w:rPr>
                <w:rFonts w:ascii="Times New Roman" w:eastAsia="Calibri" w:hAnsi="Times New Roman" w:cs="Times New Roman"/>
                <w:sz w:val="20"/>
                <w:szCs w:val="20"/>
              </w:rPr>
              <w:t xml:space="preserve">These results suggest that language users separately track expectations about who </w:t>
            </w:r>
            <w:r w:rsidRPr="00C149A1">
              <w:rPr>
                <w:rFonts w:ascii="Times New Roman" w:eastAsia="Calibri" w:hAnsi="Times New Roman" w:cs="Times New Roman"/>
                <w:b/>
                <w:sz w:val="20"/>
                <w:szCs w:val="20"/>
              </w:rPr>
              <w:t>is likely to be</w:t>
            </w:r>
            <w:r w:rsidRPr="00C149A1">
              <w:rPr>
                <w:rFonts w:ascii="Times New Roman" w:eastAsia="Calibri" w:hAnsi="Times New Roman" w:cs="Times New Roman"/>
                <w:sz w:val="20"/>
                <w:szCs w:val="20"/>
              </w:rPr>
              <w:t xml:space="preserve"> mentioned next and what kind of event </w:t>
            </w:r>
            <w:r w:rsidRPr="00C149A1">
              <w:rPr>
                <w:rFonts w:ascii="Times New Roman" w:eastAsia="Calibri" w:hAnsi="Times New Roman" w:cs="Times New Roman"/>
                <w:b/>
                <w:sz w:val="20"/>
                <w:szCs w:val="20"/>
              </w:rPr>
              <w:t>is likely to be</w:t>
            </w:r>
            <w:r w:rsidRPr="00C149A1">
              <w:rPr>
                <w:rFonts w:ascii="Times New Roman" w:eastAsia="Calibri" w:hAnsi="Times New Roman" w:cs="Times New Roman"/>
                <w:sz w:val="20"/>
                <w:szCs w:val="20"/>
              </w:rPr>
              <w:t xml:space="preserve"> mentioned next.</w:t>
            </w:r>
          </w:p>
        </w:tc>
        <w:tc>
          <w:tcPr>
            <w:tcW w:w="2558" w:type="dxa"/>
            <w:tcBorders>
              <w:top w:val="single" w:sz="18" w:space="0" w:color="auto"/>
              <w:left w:val="nil"/>
              <w:bottom w:val="single" w:sz="18" w:space="0" w:color="auto"/>
              <w:right w:val="nil"/>
            </w:tcBorders>
          </w:tcPr>
          <w:p w14:paraId="384D243C" w14:textId="77777777" w:rsidR="00C149A1" w:rsidRPr="00C149A1" w:rsidRDefault="00C149A1" w:rsidP="00C149A1">
            <w:pPr>
              <w:jc w:val="center"/>
              <w:rPr>
                <w:rFonts w:ascii="Times New Roman" w:eastAsia="Calibri" w:hAnsi="Times New Roman" w:cs="Times New Roman"/>
                <w:sz w:val="20"/>
                <w:szCs w:val="20"/>
              </w:rPr>
            </w:pPr>
          </w:p>
        </w:tc>
        <w:tc>
          <w:tcPr>
            <w:tcW w:w="3679" w:type="dxa"/>
            <w:tcBorders>
              <w:top w:val="single" w:sz="18" w:space="0" w:color="auto"/>
              <w:left w:val="nil"/>
              <w:bottom w:val="single" w:sz="18" w:space="0" w:color="auto"/>
              <w:right w:val="nil"/>
            </w:tcBorders>
          </w:tcPr>
          <w:p w14:paraId="0273EA97" w14:textId="77777777" w:rsidR="00C149A1" w:rsidRPr="00C149A1" w:rsidRDefault="00C149A1" w:rsidP="00C149A1">
            <w:pPr>
              <w:jc w:val="both"/>
              <w:rPr>
                <w:rFonts w:ascii="Times New Roman" w:eastAsia="Calibri" w:hAnsi="Times New Roman" w:cs="Times New Roman"/>
                <w:sz w:val="20"/>
                <w:szCs w:val="20"/>
              </w:rPr>
            </w:pPr>
            <w:r w:rsidRPr="00C149A1">
              <w:rPr>
                <w:rFonts w:ascii="Times New Roman" w:eastAsia="Calibri" w:hAnsi="Times New Roman" w:cs="Times New Roman"/>
                <w:sz w:val="20"/>
                <w:szCs w:val="20"/>
              </w:rPr>
              <w:t xml:space="preserve">Prior linguistic work leaves open the question of whether the prominence of entities and events in mental models of discourse </w:t>
            </w:r>
            <w:r w:rsidRPr="00C149A1">
              <w:rPr>
                <w:rFonts w:ascii="Times New Roman" w:eastAsia="Calibri" w:hAnsi="Times New Roman" w:cs="Times New Roman"/>
                <w:b/>
                <w:sz w:val="20"/>
                <w:szCs w:val="20"/>
              </w:rPr>
              <w:t xml:space="preserve">can </w:t>
            </w:r>
            <w:r w:rsidRPr="00C149A1">
              <w:rPr>
                <w:rFonts w:ascii="Times New Roman" w:eastAsia="Calibri" w:hAnsi="Times New Roman" w:cs="Times New Roman"/>
                <w:sz w:val="20"/>
                <w:szCs w:val="20"/>
              </w:rPr>
              <w:t>be dissociated.</w:t>
            </w:r>
          </w:p>
          <w:p w14:paraId="33FB5FB3" w14:textId="77777777" w:rsidR="00C149A1" w:rsidRPr="00C149A1" w:rsidRDefault="00C149A1" w:rsidP="00C149A1">
            <w:pPr>
              <w:jc w:val="both"/>
              <w:rPr>
                <w:rFonts w:ascii="Times New Roman" w:eastAsia="Calibri" w:hAnsi="Times New Roman" w:cs="Times New Roman"/>
                <w:sz w:val="20"/>
                <w:szCs w:val="20"/>
              </w:rPr>
            </w:pPr>
          </w:p>
          <w:p w14:paraId="4D931C63" w14:textId="77777777" w:rsidR="00C149A1" w:rsidRPr="00C149A1" w:rsidRDefault="00C149A1" w:rsidP="00C149A1">
            <w:pPr>
              <w:jc w:val="both"/>
              <w:rPr>
                <w:rFonts w:ascii="Times New Roman" w:eastAsia="Calibri" w:hAnsi="Times New Roman" w:cs="Times New Roman"/>
                <w:sz w:val="20"/>
                <w:szCs w:val="20"/>
              </w:rPr>
            </w:pPr>
          </w:p>
          <w:p w14:paraId="1FB4E1F3" w14:textId="77777777" w:rsidR="00C149A1" w:rsidRPr="00C149A1" w:rsidRDefault="00C149A1" w:rsidP="00C149A1">
            <w:pPr>
              <w:jc w:val="both"/>
              <w:rPr>
                <w:rFonts w:ascii="Times New Roman" w:eastAsia="Calibri" w:hAnsi="Times New Roman" w:cs="Times New Roman"/>
                <w:sz w:val="20"/>
                <w:szCs w:val="20"/>
              </w:rPr>
            </w:pPr>
          </w:p>
          <w:p w14:paraId="794CF4E6" w14:textId="77777777" w:rsidR="00C149A1" w:rsidRPr="00C149A1" w:rsidRDefault="00C149A1" w:rsidP="00C149A1">
            <w:pPr>
              <w:jc w:val="both"/>
              <w:rPr>
                <w:rFonts w:ascii="Times New Roman" w:eastAsia="Calibri" w:hAnsi="Times New Roman" w:cs="Times New Roman"/>
                <w:sz w:val="20"/>
                <w:szCs w:val="20"/>
              </w:rPr>
            </w:pPr>
          </w:p>
        </w:tc>
      </w:tr>
      <w:tr w:rsidR="00C149A1" w:rsidRPr="00C149A1" w14:paraId="5BDE7CF3" w14:textId="77777777" w:rsidTr="00191DDD">
        <w:tc>
          <w:tcPr>
            <w:tcW w:w="541" w:type="dxa"/>
            <w:tcBorders>
              <w:top w:val="single" w:sz="18" w:space="0" w:color="auto"/>
              <w:left w:val="nil"/>
              <w:bottom w:val="single" w:sz="18" w:space="0" w:color="auto"/>
              <w:right w:val="nil"/>
            </w:tcBorders>
          </w:tcPr>
          <w:p w14:paraId="21AA2754" w14:textId="77777777" w:rsidR="00C149A1" w:rsidRPr="00C149A1" w:rsidRDefault="00C149A1" w:rsidP="00C149A1">
            <w:pPr>
              <w:rPr>
                <w:rFonts w:ascii="Times New Roman" w:eastAsia="Calibri" w:hAnsi="Times New Roman" w:cs="Times New Roman"/>
                <w:sz w:val="20"/>
                <w:szCs w:val="20"/>
              </w:rPr>
            </w:pPr>
            <w:r w:rsidRPr="00C149A1">
              <w:rPr>
                <w:rFonts w:ascii="Times New Roman" w:eastAsia="Calibri" w:hAnsi="Times New Roman" w:cs="Times New Roman"/>
                <w:sz w:val="20"/>
                <w:szCs w:val="20"/>
              </w:rPr>
              <w:t>5.</w:t>
            </w:r>
          </w:p>
        </w:tc>
        <w:tc>
          <w:tcPr>
            <w:tcW w:w="1732" w:type="dxa"/>
            <w:tcBorders>
              <w:top w:val="single" w:sz="18" w:space="0" w:color="auto"/>
              <w:left w:val="nil"/>
              <w:bottom w:val="single" w:sz="18" w:space="0" w:color="auto"/>
              <w:right w:val="nil"/>
            </w:tcBorders>
          </w:tcPr>
          <w:p w14:paraId="17B38002" w14:textId="77777777" w:rsidR="00C149A1" w:rsidRPr="00C149A1" w:rsidRDefault="00C149A1" w:rsidP="00C149A1">
            <w:pPr>
              <w:jc w:val="center"/>
              <w:rPr>
                <w:rFonts w:ascii="Times New Roman" w:eastAsia="Calibri" w:hAnsi="Times New Roman" w:cs="Times New Roman"/>
                <w:sz w:val="20"/>
                <w:szCs w:val="20"/>
              </w:rPr>
            </w:pPr>
            <w:r w:rsidRPr="00C149A1">
              <w:rPr>
                <w:rFonts w:ascii="Times New Roman" w:eastAsia="Calibri" w:hAnsi="Times New Roman" w:cs="Times New Roman"/>
                <w:sz w:val="20"/>
                <w:szCs w:val="20"/>
              </w:rPr>
              <w:t>Journal of Child Language (JCL) (Jones &amp; Brant, 2019)</w:t>
            </w:r>
          </w:p>
        </w:tc>
        <w:tc>
          <w:tcPr>
            <w:tcW w:w="1838" w:type="dxa"/>
            <w:tcBorders>
              <w:top w:val="single" w:sz="18" w:space="0" w:color="auto"/>
              <w:left w:val="nil"/>
              <w:bottom w:val="single" w:sz="18" w:space="0" w:color="auto"/>
              <w:right w:val="nil"/>
            </w:tcBorders>
          </w:tcPr>
          <w:p w14:paraId="5C4292EF" w14:textId="77777777" w:rsidR="00C149A1" w:rsidRPr="00C149A1" w:rsidRDefault="00C149A1" w:rsidP="00C149A1">
            <w:pPr>
              <w:jc w:val="both"/>
              <w:rPr>
                <w:rFonts w:ascii="Times New Roman" w:eastAsia="Calibri" w:hAnsi="Times New Roman" w:cs="Times New Roman"/>
                <w:sz w:val="20"/>
                <w:szCs w:val="20"/>
              </w:rPr>
            </w:pPr>
            <w:r w:rsidRPr="00C149A1">
              <w:rPr>
                <w:rFonts w:ascii="Times New Roman" w:eastAsia="Calibri" w:hAnsi="Times New Roman" w:cs="Times New Roman"/>
                <w:sz w:val="20"/>
                <w:szCs w:val="20"/>
              </w:rPr>
              <w:t xml:space="preserve">A limitation of the current study is that </w:t>
            </w:r>
            <w:r w:rsidRPr="00C149A1">
              <w:rPr>
                <w:rFonts w:ascii="Times New Roman" w:eastAsia="Calibri" w:hAnsi="Times New Roman" w:cs="Times New Roman"/>
                <w:b/>
                <w:sz w:val="20"/>
                <w:szCs w:val="20"/>
              </w:rPr>
              <w:t>it is impossible to</w:t>
            </w:r>
            <w:r w:rsidRPr="00C149A1">
              <w:rPr>
                <w:rFonts w:ascii="Times New Roman" w:eastAsia="Calibri" w:hAnsi="Times New Roman" w:cs="Times New Roman"/>
                <w:sz w:val="20"/>
                <w:szCs w:val="20"/>
              </w:rPr>
              <w:t xml:space="preserve"> provide evidence for any causal account on the basis of correlational data alone.</w:t>
            </w:r>
          </w:p>
          <w:p w14:paraId="010BBC3C" w14:textId="77777777" w:rsidR="00C149A1" w:rsidRPr="00C149A1" w:rsidRDefault="00C149A1" w:rsidP="00C149A1">
            <w:pPr>
              <w:jc w:val="both"/>
              <w:rPr>
                <w:rFonts w:ascii="Times New Roman" w:eastAsia="Calibri" w:hAnsi="Times New Roman" w:cs="Times New Roman"/>
                <w:sz w:val="20"/>
                <w:szCs w:val="20"/>
              </w:rPr>
            </w:pPr>
            <w:r w:rsidRPr="00C149A1">
              <w:rPr>
                <w:rFonts w:ascii="Times New Roman" w:eastAsia="Calibri" w:hAnsi="Times New Roman" w:cs="Times New Roman"/>
                <w:sz w:val="20"/>
                <w:szCs w:val="20"/>
              </w:rPr>
              <w:t xml:space="preserve">What the current study shows is that any explanatory model of early vocabulary development, particularly of early word production, </w:t>
            </w:r>
            <w:r w:rsidRPr="00C149A1">
              <w:rPr>
                <w:rFonts w:ascii="Times New Roman" w:eastAsia="Calibri" w:hAnsi="Times New Roman" w:cs="Times New Roman"/>
                <w:b/>
                <w:sz w:val="20"/>
                <w:szCs w:val="20"/>
              </w:rPr>
              <w:t xml:space="preserve">must </w:t>
            </w:r>
            <w:r w:rsidRPr="00C149A1">
              <w:rPr>
                <w:rFonts w:ascii="Times New Roman" w:eastAsia="Calibri" w:hAnsi="Times New Roman" w:cs="Times New Roman"/>
                <w:sz w:val="20"/>
                <w:szCs w:val="20"/>
              </w:rPr>
              <w:t>account for word sound features.</w:t>
            </w:r>
          </w:p>
        </w:tc>
        <w:tc>
          <w:tcPr>
            <w:tcW w:w="2558" w:type="dxa"/>
            <w:tcBorders>
              <w:top w:val="single" w:sz="18" w:space="0" w:color="auto"/>
              <w:left w:val="nil"/>
              <w:bottom w:val="single" w:sz="18" w:space="0" w:color="auto"/>
              <w:right w:val="nil"/>
            </w:tcBorders>
          </w:tcPr>
          <w:p w14:paraId="3A41025E" w14:textId="77777777" w:rsidR="00C149A1" w:rsidRPr="00C149A1" w:rsidRDefault="00C149A1" w:rsidP="00C149A1">
            <w:pPr>
              <w:jc w:val="center"/>
              <w:rPr>
                <w:rFonts w:ascii="Times New Roman" w:eastAsia="Calibri" w:hAnsi="Times New Roman" w:cs="Times New Roman"/>
                <w:sz w:val="20"/>
                <w:szCs w:val="20"/>
              </w:rPr>
            </w:pPr>
          </w:p>
        </w:tc>
        <w:tc>
          <w:tcPr>
            <w:tcW w:w="3679" w:type="dxa"/>
            <w:tcBorders>
              <w:top w:val="single" w:sz="18" w:space="0" w:color="auto"/>
              <w:left w:val="nil"/>
              <w:bottom w:val="single" w:sz="18" w:space="0" w:color="auto"/>
              <w:right w:val="nil"/>
            </w:tcBorders>
          </w:tcPr>
          <w:p w14:paraId="6B04AF4E" w14:textId="77777777" w:rsidR="00C149A1" w:rsidRPr="00C149A1" w:rsidRDefault="00C149A1" w:rsidP="00C149A1">
            <w:pPr>
              <w:jc w:val="both"/>
              <w:rPr>
                <w:rFonts w:ascii="Times New Roman" w:eastAsia="Calibri" w:hAnsi="Times New Roman" w:cs="Times New Roman"/>
                <w:sz w:val="20"/>
                <w:szCs w:val="20"/>
              </w:rPr>
            </w:pPr>
            <w:r w:rsidRPr="00C149A1">
              <w:rPr>
                <w:rFonts w:ascii="Times New Roman" w:eastAsia="Calibri" w:hAnsi="Times New Roman" w:cs="Times New Roman"/>
                <w:sz w:val="20"/>
                <w:szCs w:val="20"/>
              </w:rPr>
              <w:t xml:space="preserve">A word with such characteristics but complex phonology </w:t>
            </w:r>
            <w:r w:rsidRPr="00C149A1">
              <w:rPr>
                <w:rFonts w:ascii="Times New Roman" w:eastAsia="Calibri" w:hAnsi="Times New Roman" w:cs="Times New Roman"/>
                <w:b/>
                <w:sz w:val="20"/>
                <w:szCs w:val="20"/>
              </w:rPr>
              <w:t>may</w:t>
            </w:r>
            <w:r w:rsidRPr="00C149A1">
              <w:rPr>
                <w:rFonts w:ascii="Times New Roman" w:eastAsia="Calibri" w:hAnsi="Times New Roman" w:cs="Times New Roman"/>
                <w:sz w:val="20"/>
                <w:szCs w:val="20"/>
              </w:rPr>
              <w:t xml:space="preserve"> be </w:t>
            </w:r>
            <w:proofErr w:type="spellStart"/>
            <w:r w:rsidRPr="00C149A1">
              <w:rPr>
                <w:rFonts w:ascii="Times New Roman" w:eastAsia="Calibri" w:hAnsi="Times New Roman" w:cs="Times New Roman"/>
                <w:sz w:val="20"/>
                <w:szCs w:val="20"/>
              </w:rPr>
              <w:t>memorised</w:t>
            </w:r>
            <w:proofErr w:type="spellEnd"/>
            <w:r w:rsidRPr="00C149A1">
              <w:rPr>
                <w:rFonts w:ascii="Times New Roman" w:eastAsia="Calibri" w:hAnsi="Times New Roman" w:cs="Times New Roman"/>
                <w:sz w:val="20"/>
                <w:szCs w:val="20"/>
              </w:rPr>
              <w:t xml:space="preserve"> imperfectly, which may be sufficient if the child is required to </w:t>
            </w:r>
            <w:proofErr w:type="spellStart"/>
            <w:r w:rsidRPr="00C149A1">
              <w:rPr>
                <w:rFonts w:ascii="Times New Roman" w:eastAsia="Calibri" w:hAnsi="Times New Roman" w:cs="Times New Roman"/>
                <w:sz w:val="20"/>
                <w:szCs w:val="20"/>
              </w:rPr>
              <w:t>recognise</w:t>
            </w:r>
            <w:proofErr w:type="spellEnd"/>
            <w:r w:rsidRPr="00C149A1">
              <w:rPr>
                <w:rFonts w:ascii="Times New Roman" w:eastAsia="Calibri" w:hAnsi="Times New Roman" w:cs="Times New Roman"/>
                <w:sz w:val="20"/>
                <w:szCs w:val="20"/>
              </w:rPr>
              <w:t xml:space="preserve"> and respond to, though not necessary produce, such a word (e.g., “Eat your breakfast!”</w:t>
            </w:r>
          </w:p>
          <w:p w14:paraId="2DC642DE" w14:textId="77777777" w:rsidR="00C149A1" w:rsidRPr="00C149A1" w:rsidRDefault="00C149A1" w:rsidP="00C149A1">
            <w:pPr>
              <w:jc w:val="both"/>
              <w:rPr>
                <w:rFonts w:ascii="Times New Roman" w:eastAsia="Calibri" w:hAnsi="Times New Roman" w:cs="Times New Roman"/>
                <w:sz w:val="20"/>
                <w:szCs w:val="20"/>
              </w:rPr>
            </w:pPr>
            <w:r w:rsidRPr="00C149A1">
              <w:rPr>
                <w:rFonts w:ascii="Times New Roman" w:eastAsia="Calibri" w:hAnsi="Times New Roman" w:cs="Times New Roman"/>
                <w:sz w:val="20"/>
                <w:szCs w:val="20"/>
              </w:rPr>
              <w:t xml:space="preserve">As a result, young children </w:t>
            </w:r>
            <w:r w:rsidRPr="00C149A1">
              <w:rPr>
                <w:rFonts w:ascii="Times New Roman" w:eastAsia="Calibri" w:hAnsi="Times New Roman" w:cs="Times New Roman"/>
                <w:b/>
                <w:sz w:val="20"/>
                <w:szCs w:val="20"/>
              </w:rPr>
              <w:t>may</w:t>
            </w:r>
            <w:r w:rsidRPr="00C149A1">
              <w:rPr>
                <w:rFonts w:ascii="Times New Roman" w:eastAsia="Calibri" w:hAnsi="Times New Roman" w:cs="Times New Roman"/>
                <w:sz w:val="20"/>
                <w:szCs w:val="20"/>
              </w:rPr>
              <w:t xml:space="preserve"> tend implicitly towards acquiring new words comprising familiar phonological patterns.</w:t>
            </w:r>
          </w:p>
          <w:p w14:paraId="29FFF81F" w14:textId="77777777" w:rsidR="00C149A1" w:rsidRPr="00C149A1" w:rsidRDefault="00C149A1" w:rsidP="00C149A1">
            <w:pPr>
              <w:jc w:val="both"/>
              <w:rPr>
                <w:rFonts w:ascii="Times New Roman" w:eastAsia="Calibri" w:hAnsi="Times New Roman" w:cs="Times New Roman"/>
                <w:sz w:val="20"/>
                <w:szCs w:val="20"/>
              </w:rPr>
            </w:pPr>
          </w:p>
        </w:tc>
      </w:tr>
    </w:tbl>
    <w:p w14:paraId="016C5F42" w14:textId="77777777" w:rsidR="00C149A1" w:rsidRPr="00C149A1" w:rsidRDefault="00C149A1" w:rsidP="00C149A1">
      <w:pPr>
        <w:rPr>
          <w:rFonts w:ascii="Times New Roman" w:eastAsia="Calibri" w:hAnsi="Times New Roman" w:cs="Times New Roman"/>
          <w:sz w:val="20"/>
          <w:szCs w:val="20"/>
        </w:rPr>
      </w:pPr>
    </w:p>
    <w:p w14:paraId="358F0673" w14:textId="77777777" w:rsidR="00C149A1" w:rsidRPr="00C149A1" w:rsidRDefault="00C149A1" w:rsidP="00C149A1">
      <w:pPr>
        <w:jc w:val="both"/>
        <w:rPr>
          <w:rFonts w:ascii="Times New Roman" w:eastAsia="Calibri" w:hAnsi="Times New Roman" w:cs="Times New Roman"/>
          <w:sz w:val="20"/>
          <w:szCs w:val="20"/>
        </w:rPr>
      </w:pPr>
    </w:p>
    <w:p w14:paraId="4AF72858" w14:textId="77777777" w:rsidR="00C149A1" w:rsidRPr="00C149A1" w:rsidRDefault="00C149A1" w:rsidP="00C149A1">
      <w:pPr>
        <w:jc w:val="center"/>
        <w:rPr>
          <w:rFonts w:ascii="Times New Roman" w:eastAsia="Calibri" w:hAnsi="Times New Roman" w:cs="Times New Roman"/>
          <w:sz w:val="20"/>
          <w:szCs w:val="20"/>
        </w:rPr>
      </w:pPr>
    </w:p>
    <w:p w14:paraId="06D3909D" w14:textId="77777777" w:rsidR="00C149A1" w:rsidRPr="00C149A1" w:rsidRDefault="00C149A1" w:rsidP="00C149A1">
      <w:pPr>
        <w:spacing w:line="240" w:lineRule="auto"/>
        <w:rPr>
          <w:rFonts w:ascii="Times New Roman" w:eastAsia="Calibri" w:hAnsi="Times New Roman" w:cs="Times New Roman"/>
          <w:sz w:val="20"/>
          <w:szCs w:val="20"/>
        </w:rPr>
      </w:pPr>
    </w:p>
    <w:p w14:paraId="211E05E5" w14:textId="77777777" w:rsidR="00C149A1" w:rsidRDefault="00C149A1"/>
    <w:sectPr w:rsidR="00C149A1" w:rsidSect="00556E10">
      <w:footerReference w:type="default" r:id="rId5"/>
      <w:pgSz w:w="12240" w:h="15840"/>
      <w:pgMar w:top="1134" w:right="1440"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F85F0" w14:textId="77777777" w:rsidR="00C85AED" w:rsidRDefault="0081562A">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4414E"/>
    <w:multiLevelType w:val="hybridMultilevel"/>
    <w:tmpl w:val="C7B8950A"/>
    <w:lvl w:ilvl="0" w:tplc="7D000F8C">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9A1"/>
    <w:rsid w:val="004C0EBC"/>
    <w:rsid w:val="0081562A"/>
    <w:rsid w:val="00C149A1"/>
    <w:rsid w:val="00DE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B97BC"/>
  <w15:chartTrackingRefBased/>
  <w15:docId w15:val="{B20C2E63-8903-451E-97C5-64AA97C41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4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149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1433</Words>
  <Characters>8173</Characters>
  <Application>Microsoft Office Word</Application>
  <DocSecurity>0</DocSecurity>
  <Lines>68</Lines>
  <Paragraphs>19</Paragraphs>
  <ScaleCrop>false</ScaleCrop>
  <Company/>
  <LinksUpToDate>false</LinksUpToDate>
  <CharactersWithSpaces>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Wawan Hendrawan</dc:creator>
  <cp:keywords/>
  <dc:description/>
  <cp:lastModifiedBy>Wawan Hendrawan</cp:lastModifiedBy>
  <cp:revision>5</cp:revision>
  <dcterms:created xsi:type="dcterms:W3CDTF">2020-06-26T07:03:00Z</dcterms:created>
  <dcterms:modified xsi:type="dcterms:W3CDTF">2020-06-26T07:04:00Z</dcterms:modified>
</cp:coreProperties>
</file>